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6B10" w14:textId="77777777" w:rsidR="00A812DD" w:rsidRDefault="00A812DD">
      <w:pPr>
        <w:pStyle w:val="Standard"/>
        <w:spacing w:line="276" w:lineRule="auto"/>
        <w:jc w:val="center"/>
        <w:rPr>
          <w:rFonts w:ascii="Arial" w:hAnsi="Arial"/>
          <w:i/>
          <w:iCs/>
          <w:sz w:val="18"/>
          <w:szCs w:val="18"/>
        </w:rPr>
      </w:pPr>
    </w:p>
    <w:p w14:paraId="504E1C2E" w14:textId="77777777" w:rsidR="00A812DD" w:rsidRDefault="009D578F">
      <w:pPr>
        <w:pStyle w:val="Standard"/>
        <w:spacing w:line="276" w:lineRule="auto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Załącznik nr 2a- OPZ Pakiet 3</w:t>
      </w:r>
    </w:p>
    <w:p w14:paraId="5F9BE29B" w14:textId="77777777" w:rsidR="00A812DD" w:rsidRDefault="00A812DD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7A51429A" w14:textId="77777777" w:rsidR="00A812DD" w:rsidRDefault="009D578F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WYMAGANIA DOTYCZĄCE APARATU DO BARWIENIA</w:t>
      </w:r>
    </w:p>
    <w:p w14:paraId="1A74F62C" w14:textId="77777777" w:rsidR="00A812DD" w:rsidRDefault="00A812DD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1414C2F0" w14:textId="77777777" w:rsidR="00A812DD" w:rsidRDefault="00A812DD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78B0F97C" w14:textId="77777777"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73991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DB85B5A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53FE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CC20B5E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AC553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Proszę zaznaczyć właściwą kolumnę</w:t>
            </w:r>
          </w:p>
        </w:tc>
      </w:tr>
      <w:tr w:rsidR="00A812DD" w14:paraId="6E6DE947" w14:textId="77777777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FFF4F" w14:textId="77777777" w:rsidR="00A812DD" w:rsidRDefault="00A812D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5DE1" w14:textId="77777777" w:rsidR="00A812DD" w:rsidRDefault="00A812D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854F6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01B22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A812DD" w14:paraId="3DAB0C2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B385D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0D19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 pełni automatyczny system barwienia metodą Grama przy użyciu dysz rozpylających zapewniających równomierne nakładanie barwnika.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92C3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2BD76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3B41D551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9F37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EF9C3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z dodatkowym rotorem do cytowirowania.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0A68D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23AAC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52190D2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14F6D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101FC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Oddzielny zasobnik, rurka zasilająca, pompa i dysza spryskująca dla każdego odczynnika.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5DDEA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F2AC8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3FCD95BF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A6A7C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DE4D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Całość procesów zachodząca w zamkniętym aparacie – brak bezpośredniego kontaktu operatora z odczynnikami podczas czasu barwienia.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42636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AB138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4A212D53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6A983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1DA5C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Brak wzajemnej kontaminacji próbek.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2D81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97818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5A6F8F0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4A5B0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53749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na minimum 12 preparatów. Możliwość zmiany rotora na pojemność 30 szkiełek.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F084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5E1AC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E81448D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DD53C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174A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 rotora – wyjmowany z aparatu do wkładania szkiełek, czyszczenia czy zmiany na cytowirówkę.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C7070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4A83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2AC36125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FC191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1CAB0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barwienia preparatów o różnej grubości – minimum 9 programów.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9BB3E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13CB9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F5F147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29D69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D9E3C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Gotowe do użycia odczynniki stosowane do barwienia, przechowywane </w:t>
            </w:r>
            <w:r>
              <w:rPr>
                <w:rFonts w:ascii="Arial" w:hAnsi="Arial"/>
                <w:sz w:val="18"/>
                <w:szCs w:val="18"/>
              </w:rPr>
              <w:br/>
              <w:t>w szczelnie zamkniętych pojemnikach.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C3C84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A49D3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184E210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214BD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29750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Zużyte odczynniki gromadzone w specjalnym pojemniku podłączonym do urządzenia zintegrowanym z aparatem.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3AD41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A849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46A9047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5C09E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B3447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Funkcja monitorowania poziomu odczynników oraz odpadów.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1818C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3DE6F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163EEEF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E2A24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39525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Monitorowanie terminów ważności barwników oraz ilości przeprowadzonych cykli barwienia od momentu zainstalowania ich w aparacie.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DA620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AF2DD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0EF27DA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412E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734E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Automatyczne zgłaszanie przez aparat konieczności opróżnienia pojemnika na odpady.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338E6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AA6ED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0919DC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77C9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1BE1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Automatyczne czyszczenie dysz dozujących odczynniki.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479F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853BE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2A341B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DC72A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E45D7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Zapamiętywanie różnych procedur barwienia zaprogramowanych przez użytkownika.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A09B3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2BB2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2E5DF60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65FF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EB0EA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Wybierana przez operatora funkcja utrwalania preparatu za pomocą etanolu lub metanolu.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5F393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E1DE6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27ADC0FD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4D6A4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B38D4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Komunikacja z użytkownikiem za pomocą ekranu dotykowego.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0266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8AD50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576B088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651A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8351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zapisywania programów, śledzenia procesów, aktywności użytkowników.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A9159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6AB6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CBC067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0905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DE6D4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wskazujący na ekranie czas do końca barwienia.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CF69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D7CDE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1FE1B10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02D49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63CB0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wprowadzenia i zapamiętywania protokołów barwienia dostosowanych do rodzaju próbki, użytkownika czy procedur laboratoryjnych.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2E661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0B26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7472339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06B7A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E151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tworzenia profili dla różnych użytkowników oraz możliwość śledzenia aktywności różnych użytkowników.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BAA88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9EF88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4B27816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F3458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810DF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Łatwa konserwacja, aparat nie wymagający czyszczenia podzespołów barwiących (brak konieczności zakupu dodatkowych odczynników).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C336B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D8C2E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5923C4F9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B1059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F0351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posiadający znak CE, IVD.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F2439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D8AD5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2E8B3C1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87C1E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67D0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Aktualny certyfikat ISO 9001:2015 w zakresie sprzedaży, dystrybucji, usługi serwisu technicznego oraz konsultacji i szkoleń w zakresie wyrobów do diagnostyki in vitro (odczynniki, aparaty, oprogramowanie) dla laboratoriów klinicznych.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15307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B23C9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10F4DCA3" w14:textId="77777777">
        <w:tc>
          <w:tcPr>
            <w:tcW w:w="6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4D5DF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D8EED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F0D570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WARUNKI SERWISOWE</w:t>
            </w:r>
          </w:p>
        </w:tc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9247E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9EAE2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4C3A16CD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10859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FB79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 /eksploatacyjnych na czas trwania umowy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13330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5974C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1FBFB59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9884B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E8C93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Urządzenie zastępcze przy naprawie powyżej 5 dni lub odbiór materiału do badania i wykonania zleconych badań na koszt firmy/oferenta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3A975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8E757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C67079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56806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47AAF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Udostępnienie adresu serwisu i nr telefonu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35083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46943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79B9E1A" w14:textId="77777777" w:rsidR="00A812DD" w:rsidRDefault="00A812DD">
      <w:pPr>
        <w:pStyle w:val="Standard"/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480D085D" w14:textId="77777777" w:rsidR="00A812DD" w:rsidRDefault="00A812DD">
      <w:pPr>
        <w:pStyle w:val="Standard"/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6F5633B3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A51D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90E66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0FC2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B61DC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A812DD" w14:paraId="1EA9BC5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A40C1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30726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Ilość barwionych preparatów w jednym cyklu – minimum 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6313E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FBDA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C2356F4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BA095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76CF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wskazujący na ekranie czas do końca barwienia.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68E49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D4B02" w14:textId="77777777" w:rsidR="00A812DD" w:rsidRDefault="00A812DD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2CBB691" w14:textId="77777777" w:rsidR="00A812DD" w:rsidRDefault="00A812DD">
      <w:pPr>
        <w:pStyle w:val="Standard"/>
        <w:spacing w:line="276" w:lineRule="auto"/>
        <w:jc w:val="both"/>
        <w:rPr>
          <w:rFonts w:ascii="Arial" w:hAnsi="Arial"/>
          <w:sz w:val="18"/>
          <w:szCs w:val="18"/>
        </w:rPr>
      </w:pPr>
    </w:p>
    <w:p w14:paraId="7C27B01D" w14:textId="77777777" w:rsidR="00A812DD" w:rsidRDefault="00A812DD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199C47C4" w14:textId="77777777" w:rsidR="00A812DD" w:rsidRDefault="009D578F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Sposób przyznawania punktów dla kryterium ocena techniczna (jakość):</w:t>
      </w:r>
    </w:p>
    <w:p w14:paraId="1B79EE2A" w14:textId="77777777" w:rsidR="00A812DD" w:rsidRDefault="00A812DD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5E1F7682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2916F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2106F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D6C9B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C60EF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A812DD" w14:paraId="007EBE6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23037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0A9C2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Ilość barwionych preparatów w jednym cyklu – minimum 12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7A61" w14:textId="5C70B7A0" w:rsidR="00A812DD" w:rsidRDefault="00B8259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9D578F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C9B4D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2C7B4BDC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C3331" w14:textId="77777777" w:rsidR="00A812DD" w:rsidRDefault="009D578F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49F3F" w14:textId="77777777" w:rsidR="00A812DD" w:rsidRDefault="009D578F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Aparat wskazujący na ekranie czas do końca barwienia.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DD497" w14:textId="443A02FF" w:rsidR="00A812DD" w:rsidRDefault="00B8259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9D578F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9CDB" w14:textId="77777777" w:rsidR="00A812DD" w:rsidRDefault="00A812D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11A09A5" w14:textId="77777777" w:rsidR="00A812DD" w:rsidRDefault="00A812DD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p w14:paraId="2EF0C6CD" w14:textId="7EA71556" w:rsidR="00A812DD" w:rsidRDefault="009D578F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Maksymalna ilość punktów w kryterium jakość : </w:t>
      </w:r>
      <w:r w:rsidR="0026751A">
        <w:rPr>
          <w:rFonts w:ascii="Arial" w:hAnsi="Arial"/>
          <w:b/>
          <w:bCs/>
          <w:sz w:val="18"/>
          <w:szCs w:val="18"/>
        </w:rPr>
        <w:t>2</w:t>
      </w:r>
      <w:r>
        <w:rPr>
          <w:rFonts w:ascii="Arial" w:hAnsi="Arial"/>
          <w:b/>
          <w:bCs/>
          <w:sz w:val="18"/>
          <w:szCs w:val="18"/>
        </w:rPr>
        <w:t>0</w:t>
      </w:r>
    </w:p>
    <w:p w14:paraId="6607615D" w14:textId="77777777" w:rsidR="00A812DD" w:rsidRDefault="00A812DD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442F2425" w14:textId="77777777" w:rsidR="00A812DD" w:rsidRDefault="00A812DD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5F8A86D7" w14:textId="77777777" w:rsidR="00A812DD" w:rsidRDefault="00A812DD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6063D96B" w14:textId="77777777" w:rsidR="00A812DD" w:rsidRDefault="009D578F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Wymagane dokumenty:</w:t>
      </w:r>
    </w:p>
    <w:p w14:paraId="7198CC9D" w14:textId="77777777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 Deklaracja zgodności CE oraz IVD dla urządzenia i testów*.</w:t>
      </w:r>
    </w:p>
    <w:p w14:paraId="0DEE8EB6" w14:textId="77777777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Karty charakterystyki produktów*.</w:t>
      </w:r>
    </w:p>
    <w:p w14:paraId="13E59058" w14:textId="77777777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Karty charakterystyki substancji niebezpiecznych – jeśli dotyczy*.</w:t>
      </w:r>
    </w:p>
    <w:p w14:paraId="68DF4A98" w14:textId="77777777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4. Specyfikacja techniczna aparatu*.</w:t>
      </w:r>
    </w:p>
    <w:p w14:paraId="593DA61F" w14:textId="77777777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Materiały informacyjne dla testów oraz instrukcja obsługi w języku polskim*.</w:t>
      </w:r>
    </w:p>
    <w:p w14:paraId="2D1AEB99" w14:textId="77777777" w:rsidR="00A812DD" w:rsidRDefault="00A812DD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p w14:paraId="7CCD1B7A" w14:textId="13D5CDD4" w:rsidR="00A812DD" w:rsidRDefault="009D578F">
      <w:pPr>
        <w:pStyle w:val="Standard"/>
        <w:spacing w:line="276" w:lineRule="auto"/>
        <w:rPr>
          <w:rFonts w:ascii="Arial" w:hAnsi="Arial"/>
          <w:sz w:val="18"/>
          <w:szCs w:val="18"/>
        </w:rPr>
        <w:sectPr w:rsidR="00A812DD">
          <w:pgSz w:w="11906" w:h="16838"/>
          <w:pgMar w:top="850" w:right="1134" w:bottom="1134" w:left="1134" w:header="708" w:footer="708" w:gutter="0"/>
          <w:cols w:space="708"/>
        </w:sectPr>
      </w:pPr>
      <w:r>
        <w:rPr>
          <w:rFonts w:ascii="Arial" w:hAnsi="Arial"/>
          <w:sz w:val="18"/>
          <w:szCs w:val="18"/>
        </w:rPr>
        <w:t xml:space="preserve">*Dopuszcza się możliwość dostarczenia dokumentu w formie </w:t>
      </w:r>
      <w:r w:rsidR="00766B45">
        <w:rPr>
          <w:rFonts w:ascii="Arial" w:hAnsi="Arial"/>
          <w:sz w:val="18"/>
          <w:szCs w:val="18"/>
        </w:rPr>
        <w:t>elektronicznej</w:t>
      </w:r>
    </w:p>
    <w:p w14:paraId="63A421C9" w14:textId="77777777" w:rsidR="00A812DD" w:rsidRDefault="009D578F">
      <w:pPr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WYMAGANIA DOTYCZĄCE APARATU DO AUTOMATYCZNEGO SYSTEMU DO POSIEWU KRWI I PŁYNÓW USTROJOWYCH</w:t>
      </w:r>
    </w:p>
    <w:p w14:paraId="2AB10FA3" w14:textId="77777777" w:rsidR="00A812DD" w:rsidRDefault="00A812DD">
      <w:pPr>
        <w:suppressAutoHyphens w:val="0"/>
        <w:spacing w:after="200" w:line="276" w:lineRule="auto"/>
        <w:textAlignment w:val="auto"/>
        <w:rPr>
          <w:rFonts w:ascii="Arial" w:eastAsia="PMingLiU" w:hAnsi="Arial"/>
          <w:kern w:val="0"/>
          <w:sz w:val="18"/>
          <w:szCs w:val="18"/>
          <w:lang w:eastAsia="zh-TW" w:bidi="th-TH"/>
        </w:rPr>
      </w:pPr>
    </w:p>
    <w:tbl>
      <w:tblPr>
        <w:tblW w:w="9356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2"/>
        <w:gridCol w:w="860"/>
        <w:gridCol w:w="730"/>
        <w:gridCol w:w="2682"/>
      </w:tblGrid>
      <w:tr w:rsidR="00A812DD" w14:paraId="5EED6678" w14:textId="77777777">
        <w:trPr>
          <w:trHeight w:val="225"/>
        </w:trPr>
        <w:tc>
          <w:tcPr>
            <w:tcW w:w="984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tbl>
            <w:tblPr>
              <w:tblW w:w="969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8"/>
              <w:gridCol w:w="6605"/>
              <w:gridCol w:w="1067"/>
              <w:gridCol w:w="1134"/>
            </w:tblGrid>
            <w:tr w:rsidR="00A812DD" w14:paraId="5F59F23D" w14:textId="77777777">
              <w:tc>
                <w:tcPr>
                  <w:tcW w:w="8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B19E1B" w14:textId="77777777" w:rsidR="00A812DD" w:rsidRDefault="009D578F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  <w:t>L.P.</w:t>
                  </w:r>
                </w:p>
              </w:tc>
              <w:tc>
                <w:tcPr>
                  <w:tcW w:w="6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0B4CFE" w14:textId="77777777" w:rsidR="00A812DD" w:rsidRDefault="009D578F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  <w:t xml:space="preserve">Parametr wymagany </w:t>
                  </w:r>
                </w:p>
              </w:tc>
              <w:tc>
                <w:tcPr>
                  <w:tcW w:w="22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5AEA6" w14:textId="77777777" w:rsidR="00A812DD" w:rsidRDefault="009D578F">
                  <w:pPr>
                    <w:suppressAutoHyphens w:val="0"/>
                    <w:spacing w:line="276" w:lineRule="auto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PMingLiU" w:hAnsi="Arial"/>
                      <w:b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Proszę zaznaczyć właściwą kolumnę</w:t>
                  </w:r>
                </w:p>
              </w:tc>
            </w:tr>
            <w:tr w:rsidR="00A812DD" w14:paraId="394FC4B7" w14:textId="77777777">
              <w:tc>
                <w:tcPr>
                  <w:tcW w:w="8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F097F" w14:textId="77777777" w:rsidR="00A812DD" w:rsidRDefault="00A812DD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0BFFDE" w14:textId="77777777" w:rsidR="00A812DD" w:rsidRDefault="00A812DD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6399FF" w14:textId="77777777" w:rsidR="00A812DD" w:rsidRDefault="009D578F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  <w:t>TAK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17CE3C" w14:textId="77777777" w:rsidR="00A812DD" w:rsidRDefault="009D578F">
                  <w:pPr>
                    <w:suppressAutoHyphens w:val="0"/>
                    <w:spacing w:line="276" w:lineRule="auto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  <w:t>NIE</w:t>
                  </w:r>
                </w:p>
              </w:tc>
            </w:tr>
            <w:tr w:rsidR="00A812DD" w14:paraId="7916BF75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3A7021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0EC7F0D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Analizator dopuszczony do obrotu na terytorium RP, posiadający wymagane przez przepisy prawa świadectwa, certyfikaty, atesty, spełniający wymogi w zakresie norm bezpieczeństwa obsługi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2E02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ED13A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06D285B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BDFA4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7F8565" w14:textId="77777777" w:rsidR="00A812DD" w:rsidRDefault="009D578F">
                  <w:p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Dokument dopuszczający do obrotu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2D6668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BE812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59E8C408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20293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619A13D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W pełni zautomatyzowany analizator do wczesnego wykrywania bakterii i grzybów we krwi, płynach ustrojowych nie wymagający żadnej manualnej ingerencji ze strony użytkownika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4B60D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F4DC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76B7863D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B54BD5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32B1DEB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Analizator - rok produkcji aparatu nie wcześniej niż 2020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79DA9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81557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40769A98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5D7FB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A5BA1E8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Aparat służący do inkubacji posiewów krwi w kierunku bakterii tlenowych, beztlenowych, grzybów drożdżopodobnych potwierdzone instrukcją używania producenta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F2682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55324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0AEAA444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59A07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4C2CC18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Hodowla i detekcja wzrostu we wszystkich wymaganych podłożach odbywająca się w obrębie jednego aparatu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C8E7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92F5B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1FB93329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AC6C30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FBF6312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Wymagana ilość miejsc pomiarowych w aparacie co najmniej 420 miejsc dla prób badanych w obrębie jednego aparatu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8B07C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A76422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1C4B49E0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C7853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D0C61E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Rozbudowa aparatu o kolejne moduły inkubacyjne z możliwością automatycznej inkubacji co najmniej 1700 butelek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D4F0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EA42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0FD2776D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DDFBC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5CDC1B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Wspólne zarządzanie wszystkimi modułami aparatu tzn. wkładania butelek do analizatorów poprzez jeden obszar ładowania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4C31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DF81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5F568EF1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C3C82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EA0BA3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W pełni automatyczny załadunek butelek bez konieczności manualnego otwierania komory pomiarowej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D3FD7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16C37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4F3833F6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B6A00D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726C6CB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Automatyczne wprowadzanie butelki do wnętrza aparatu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5632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DA213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2742130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E3212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9439DE1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Automatyczne załadowanie jednocześnie co najmniej 40 butelek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0C833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1219C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7B91C79C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2A213B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499267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Automatyczne skanowanie kodów kreskowych butelki –skanowanie co najmniej 5 różnych kodów identyfikujących butelkę, pacjenta czy próbkę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82353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403082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3030844E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3AA74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BCEE480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Automatyczne określania daty ważności, numeru serii dla butelek z kodem kreskowym 2D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103D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CA34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3D8F947A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06FF0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E32E98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Bezpośredni, automatyczny pomiaru poziomu próbki w każdej butelce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F3FF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C653F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71977657" w14:textId="77777777">
              <w:trPr>
                <w:trHeight w:val="731"/>
              </w:trPr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3FE842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6BE00F2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Detekcja poziomu płynu w butelkach podczas załadunku ich do aparatu </w:t>
                  </w:r>
                </w:p>
                <w:p w14:paraId="52371D0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0881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1438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A93A91A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3D693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6B9FB1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Detekcja w butelkach określanych jako pozytywne, negatywne,  przeznaczonych do wykrywania drobnoustrojów tlenowych i beztlenowych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DA1E6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DD5E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21A050D4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B2E66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6BFE4BC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Odróżnienie próbki krwi od piany lub innych artefaktów</w:t>
                  </w:r>
                </w:p>
                <w:p w14:paraId="7AB6C66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7446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37E02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3ED3BA7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49A21F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9DD2F38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Dokładność odczytu poziomu płynu nie gorsza niż +/- 1ml</w:t>
                  </w:r>
                </w:p>
                <w:p w14:paraId="0569346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C7B69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727C2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10C4C89F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167160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B084572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Informowanie o nieprawidłowej objętości krwi pobranej do butelek wyposażonych w znacznik optymalnej objętości próbki.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CEA8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DF4C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9635E09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512A11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C7B1C2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Monitorowanie poziomu pobieranych próbek dla danego oddziału bądź pojedynczej pielęgniarki.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FB225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6031C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31EF80A9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B73EF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C3B6A8B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Generowanie analiz statystycznych odnośnie jakości pobieranych próbek co ma wpływ na zmniejszenie wyników fałszywie pozytywnych czy fałszywie negatywnych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7344B8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2001B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16F5698C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27946F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763347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Powiadamianie alarmem dźwiękowym i świetlnym odnośnie uzyskania wyniku dodatniego butelki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99F32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2CAA8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49BC299D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EE385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CB3FFC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Po procesie inkubacji automatyczne lub na życzenie usuwanie butelek dodatnich do dedykowanego pojemnika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6251C9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E83814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480D1C5B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5376A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7BAD02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Automatyczne lub na życzenie usuwanie butelek ujemnych do dedykowanego pojemnika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8F4D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621D8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2694B4B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05B470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E7FD50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Aparat wykorzystujący kolorymetryczną metodę detekcji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DAA9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7775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040BD38D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7A7986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194FE7F" w14:textId="77777777" w:rsidR="00A812DD" w:rsidRDefault="009D578F">
                  <w:p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 Dla butelek przeznaczonych dla pacjentów dorosłych wykrywanie drobnoustrojów z krwi i płynów ustrojowych (potwierdzenie w dołączonej do oferty metodyce  -Zgodnie z Rozporządzeniem Ministra Zdrowia z dnia 12.01.2011 w sprawie wymagań zasadniczych oraz procedur zgodności wyrobów medycznych do diagnostyki </w:t>
                  </w:r>
                  <w:r>
                    <w:rPr>
                      <w:rFonts w:ascii="Arial" w:eastAsia="Times New Roman" w:hAnsi="Arial"/>
                      <w:i/>
                      <w:iCs/>
                      <w:kern w:val="0"/>
                      <w:sz w:val="18"/>
                      <w:szCs w:val="18"/>
                      <w:lang w:eastAsia="pl-PL" w:bidi="th-TH"/>
                    </w:rPr>
                    <w:t>in vitro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  (sporządzanym na podstawiem.in. Dyrektywy 98/79 dotyczącej wyrobów medycznych)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4088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F729C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20F592A3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BF8AAF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3839D5" w14:textId="77777777" w:rsidR="00A812DD" w:rsidRDefault="009D578F">
                  <w:pPr>
                    <w:suppressAutoHyphens w:val="0"/>
                    <w:spacing w:after="200" w:line="276" w:lineRule="auto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  <w:t xml:space="preserve">Aparat wyposażony w funkcję opóźnionego wkładania butelek do aparatu (do 24 h) bez uszczerbku na wykrywalności drobnoustrojów potwierdzone instrukcją używania wyrobu medycznego do diagnostyki </w:t>
                  </w:r>
                  <w:r>
                    <w:rPr>
                      <w:rFonts w:ascii="Arial" w:eastAsia="PMingLiU" w:hAnsi="Arial"/>
                      <w:i/>
                      <w:iCs/>
                      <w:kern w:val="0"/>
                      <w:sz w:val="18"/>
                      <w:szCs w:val="18"/>
                      <w:lang w:eastAsia="zh-TW" w:bidi="th-TH"/>
                    </w:rPr>
                    <w:t>in vitro</w:t>
                  </w:r>
                  <w:r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  <w:t xml:space="preserve"> gdzie określona jest procedura, jakiej należy użyć w celu uzyskania wiarygodnego wyniku.  Zgodnie z Rozporządzeniem Ministra Zdrowia z dnia 12.01.2011 w sprawie wymagań zasadniczych oraz procedur zgodności wyrobów medycznych do diagnostyki </w:t>
                  </w:r>
                  <w:r>
                    <w:rPr>
                      <w:rFonts w:ascii="Arial" w:eastAsia="PMingLiU" w:hAnsi="Arial"/>
                      <w:i/>
                      <w:iCs/>
                      <w:kern w:val="0"/>
                      <w:sz w:val="18"/>
                      <w:szCs w:val="18"/>
                      <w:lang w:eastAsia="zh-TW" w:bidi="th-TH"/>
                    </w:rPr>
                    <w:t>in vitro</w:t>
                  </w:r>
                  <w:r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  <w:t xml:space="preserve">  (sporządzanym na podstawiem.in. Dyrektywy 98/79 dotyczącej wyrobów medycznych) &amp;8.7 Instrukcja używania wyrobu medycznego do diagnostyki </w:t>
                  </w:r>
                  <w:r>
                    <w:rPr>
                      <w:rFonts w:ascii="Arial" w:eastAsia="PMingLiU" w:hAnsi="Arial"/>
                      <w:i/>
                      <w:iCs/>
                      <w:kern w:val="0"/>
                      <w:sz w:val="18"/>
                      <w:szCs w:val="18"/>
                      <w:lang w:eastAsia="zh-TW" w:bidi="th-TH"/>
                    </w:rPr>
                    <w:t>in vitro</w:t>
                  </w:r>
                  <w:r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  <w:t xml:space="preserve"> musi zawierać, punkt 6/ rodzaj próbki, jakiej należy użyć, oraz specjalne warunki jej pobierania, wstępnego przygotowania oraz, jeżeli to niezbędne, warunki przechowywania i instrukcje przygotowania pacjenta.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0F8D8D" w14:textId="77777777" w:rsidR="00A812DD" w:rsidRDefault="00A812DD">
                  <w:p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626A7" w14:textId="77777777" w:rsidR="00A812DD" w:rsidRDefault="00A812DD">
                  <w:p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2B3CF069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073304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3CC2A0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Aparat nie wymagający żadnych codziennych czynności rozruchowych przeprowadzający procedurę kalibracji w sposób automatyczny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3210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161C0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20781CE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FBFC3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CC90F4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Analizatory wyposażony w dwa ekrany dotykowe z oprogramowaniem w wersji graficznej 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1B6D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EF8B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2805543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0B9E11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BBD109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Oprogramowanie umożliwiające automatyczną rejestrację próbki połączona z obrazowaniem etykiety butelki oraz innych kodów kreskowych stosowanych przez użytkownika, generowane przed umieszczeniem jej w inkubatorze. Przechowywanie zdjęć etykiet w pamięci aparatu.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4F1E7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066B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16787EC9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53D7C2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89274F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 xml:space="preserve">Rejestracja podstawowych danych dotyczących prób m.in. numer badania, imię </w:t>
                  </w:r>
                </w:p>
                <w:p w14:paraId="37B5E907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i nazwisko pacjenta oraz PESEL, data rozpoczęcia i zakończenia badania, wynik.</w:t>
                  </w:r>
                </w:p>
                <w:p w14:paraId="58B9778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2B428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A4B9C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33E3CA1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A496EC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3EB486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Podgląd podstawowych danych o systemie na ekranie głównym dużego wyświetlacza: status wszystkich modułów, w tym liczba dostępnych komór, liczba butelek z wynikami dodatnimi i ujemnymi oraz aktywne alarmy.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A05BE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F1D9D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06B56CB5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A8E98B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145968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Funkcja ponownego włożenia do aparatu butelki o niepotwierdzonym, w preparacie barwionym metodą Grama, wyniku dodatnim.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6B17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C1FA8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43B4DD06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1816CB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2F6F0C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Podgląd i wydruk krzywych wzrostu drobnoustrojów.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C3D83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4B241B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3F79256D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901862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F041BFB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Podgląd, dostosowywanie do potrzeb i wydruk raportów dotyczących butelek i aparatu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21E6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448A4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50C77193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D8E75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86ED966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Dostosowanie czasu inkubacji do potrzeb użytkownika zarówno dla poszczególnych typów stosowanych butelek jak i dla pojedynczej butelki.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96EF0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5DAD20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2E187944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5D0326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14E8E1E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Dostosowywanie zakresu objętości próbki przyjmowanej za optymalną.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EC90C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63BB6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2CA95197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F0F74C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64C1764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Tworzenie kopii zapasowej danych na dedykowanym dysku twardym, dysku zewnętrznym USB lub w katalogu sieciowym w celu ich zabezpieczenia.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2A500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D5B0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66933124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BDCFA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A495BD5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  <w:t>Dwukierunkowa komunikacja z Laboratoryjnym Systemem Informatycznym – pobieranie danych o próbce z LIS przez aparat i zwrotne wysyłanie wyniku badania z aparatu do LIS.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4BB58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3E4F3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pl-PL" w:bidi="th-TH"/>
                    </w:rPr>
                  </w:pPr>
                </w:p>
              </w:tc>
            </w:tr>
            <w:tr w:rsidR="00A812DD" w14:paraId="57B252C5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11D74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63A9C7" w14:textId="77777777" w:rsidR="00A812DD" w:rsidRDefault="009D578F">
                  <w:p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Instrukcja w języku polskim dołączona do oferty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531C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45EB7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169E35B2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1E238F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247168A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Oferowany sprzęt kompletny, po instalacji gotowy do pracy zgodnie z przeznaczeniem bez żadnych dodatkowych zakupów inwestycyjnych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38940F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94DAE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73C9F6A2" w14:textId="77777777">
              <w:trPr>
                <w:trHeight w:val="659"/>
              </w:trPr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B179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D6B578E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 xml:space="preserve">Wymiary instrumentu nie więcej niż: wys. 200cm x szer. 73 cm. X gł. 91 cm </w:t>
                  </w:r>
                </w:p>
                <w:p w14:paraId="4A0AD24E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  <w:p w14:paraId="1C32CD95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59F66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0F6D4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670A7EB8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0799F7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AA6EFA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W ramach umowy zapewnienie przeniesienia aparatu w przypadku konieczności zmiany lokalizacji każdorazowo.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7022EC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870C1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1D5FA368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C3FA6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127EE0" w14:textId="77777777" w:rsidR="00A812DD" w:rsidRDefault="009D578F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  <w:r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  <w:t>Stół jeśli wymagany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A1A5D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2241A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  <w:tr w:rsidR="00A812DD" w14:paraId="3828DE06" w14:textId="77777777"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C9BD4" w14:textId="77777777" w:rsidR="00A812DD" w:rsidRDefault="00A812DD">
                  <w:pPr>
                    <w:numPr>
                      <w:ilvl w:val="0"/>
                      <w:numId w:val="1"/>
                    </w:numPr>
                    <w:suppressAutoHyphens w:val="0"/>
                    <w:spacing w:after="200" w:line="276" w:lineRule="auto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3C3060E" w14:textId="77777777" w:rsidR="00A812DD" w:rsidRDefault="009D578F">
                  <w:pPr>
                    <w:suppressAutoHyphens w:val="0"/>
                    <w:textAlignment w:val="auto"/>
                    <w:rPr>
                      <w:rFonts w:hint="eastAsia"/>
                    </w:rPr>
                  </w:pPr>
                  <w:r>
                    <w:rPr>
                      <w:rFonts w:ascii="Arial" w:eastAsia="PMingLiU" w:hAnsi="Arial"/>
                      <w:kern w:val="0"/>
                      <w:sz w:val="18"/>
                      <w:szCs w:val="18"/>
                      <w:lang w:eastAsia="ar-SA" w:bidi="th-TH"/>
                    </w:rPr>
                    <w:t>Raz w roku pokrycie kosztów związanych z udziałem w konferencji naukowej, krajowej  Wiosenna Szkoła Mikrobiologii dla jednej osoby.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C329C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BE5754" w14:textId="77777777" w:rsidR="00A812DD" w:rsidRDefault="00A812DD">
                  <w:pPr>
                    <w:suppressAutoHyphens w:val="0"/>
                    <w:textAlignment w:val="auto"/>
                    <w:rPr>
                      <w:rFonts w:ascii="Arial" w:eastAsia="PMingLiU" w:hAnsi="Arial"/>
                      <w:bCs/>
                      <w:kern w:val="0"/>
                      <w:sz w:val="18"/>
                      <w:szCs w:val="18"/>
                      <w:lang w:eastAsia="zh-TW" w:bidi="th-TH"/>
                    </w:rPr>
                  </w:pPr>
                </w:p>
              </w:tc>
            </w:tr>
          </w:tbl>
          <w:p w14:paraId="12DA61FA" w14:textId="77777777" w:rsidR="00A812DD" w:rsidRDefault="00A812DD">
            <w:pPr>
              <w:suppressAutoHyphens w:val="0"/>
              <w:spacing w:line="276" w:lineRule="auto"/>
              <w:textAlignment w:val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pl-PL" w:bidi="th-TH"/>
              </w:rPr>
            </w:pPr>
          </w:p>
        </w:tc>
      </w:tr>
      <w:tr w:rsidR="00A812DD" w14:paraId="7C466643" w14:textId="77777777">
        <w:trPr>
          <w:trHeight w:val="225"/>
        </w:trPr>
        <w:tc>
          <w:tcPr>
            <w:tcW w:w="55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101B4" w14:textId="77777777" w:rsidR="00A812DD" w:rsidRDefault="00A812D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pl-PL" w:bidi="th-TH"/>
              </w:rPr>
            </w:pPr>
          </w:p>
        </w:tc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B36BF" w14:textId="77777777" w:rsidR="00A812DD" w:rsidRDefault="00A812D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pl-PL" w:bidi="th-TH"/>
              </w:rPr>
            </w:pPr>
          </w:p>
        </w:tc>
        <w:tc>
          <w:tcPr>
            <w:tcW w:w="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02DDB" w14:textId="77777777" w:rsidR="00A812DD" w:rsidRDefault="00A812D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pl-PL" w:bidi="th-TH"/>
              </w:rPr>
            </w:pPr>
          </w:p>
        </w:tc>
        <w:tc>
          <w:tcPr>
            <w:tcW w:w="268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BF6C4" w14:textId="77777777" w:rsidR="00A812DD" w:rsidRDefault="00A812D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pl-PL" w:bidi="th-TH"/>
              </w:rPr>
            </w:pPr>
          </w:p>
        </w:tc>
      </w:tr>
    </w:tbl>
    <w:p w14:paraId="33CE06DC" w14:textId="77777777" w:rsidR="00A812DD" w:rsidRDefault="00A812DD">
      <w:pPr>
        <w:suppressAutoHyphens w:val="0"/>
        <w:spacing w:line="276" w:lineRule="auto"/>
        <w:textAlignment w:val="auto"/>
        <w:rPr>
          <w:rFonts w:ascii="Arial" w:eastAsia="PMingLiU" w:hAnsi="Arial"/>
          <w:vanish/>
          <w:kern w:val="0"/>
          <w:sz w:val="18"/>
          <w:szCs w:val="18"/>
          <w:lang w:eastAsia="zh-TW" w:bidi="th-TH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350A7764" w14:textId="77777777">
        <w:tc>
          <w:tcPr>
            <w:tcW w:w="6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9FCC5" w14:textId="77777777" w:rsidR="00A812DD" w:rsidRDefault="00A812DD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2B2B0" w14:textId="77777777" w:rsidR="00A812DD" w:rsidRDefault="00A812DD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EDDC85A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WARUNKI SERWISOWE</w:t>
            </w:r>
          </w:p>
        </w:tc>
        <w:tc>
          <w:tcPr>
            <w:tcW w:w="7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C214B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6077F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54B46F6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312AA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EDB5" w14:textId="77777777" w:rsidR="00A812DD" w:rsidRDefault="009D578F">
            <w:pPr>
              <w:spacing w:before="60" w:after="6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Nieodpłatny serwis na czas trwania umowy, bezpłatne przeglądy serwisowe, co najmniej raz w roku obejmujące wymianę niezbędnych części zużywalnych na koszt Wykonawcy.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F0C9A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32D3C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1483920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E485A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A5746" w14:textId="77777777" w:rsidR="00A812DD" w:rsidRDefault="009D578F">
            <w:pPr>
              <w:spacing w:before="60" w:after="6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Czas reakcji serwisu do 48 h w dni robocze od momentu zgłoszenia awarii telefonicznie lub drogą mailową. Urządzenie zastępcze przy naprawie powyżej 5 dni.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2E336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34CBB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4F329286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E632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CC2DD" w14:textId="77777777" w:rsidR="00A812DD" w:rsidRDefault="009D578F">
            <w:pPr>
              <w:spacing w:before="60" w:after="6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  <w:lang w:eastAsia="ar-SA"/>
              </w:rPr>
              <w:t>Adres serwisu, nr telefonu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C62B1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2E1F0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22BEC74" w14:textId="77777777" w:rsidR="00A812DD" w:rsidRDefault="00A812DD">
      <w:pPr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4A1B0CCF" w14:textId="77777777" w:rsidR="00A812DD" w:rsidRDefault="00A812DD">
      <w:pPr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2D16845E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745E8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8D8E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043E0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8A033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A812DD" w14:paraId="16E3C95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0DAB2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2C29E" w14:textId="77777777" w:rsidR="00A812DD" w:rsidRDefault="009D578F">
            <w:pPr>
              <w:spacing w:before="60" w:after="60"/>
              <w:jc w:val="both"/>
              <w:textAlignment w:val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zastosowania specjalnych końcówek do przesiewania dodatnich prób krwi z uwzględnieniem zasad bezpieczeństwa zabezpieczające pracownika przed zakłuciem, kompatybilnych z podłożami.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10D13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7E79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6588946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0D3B8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1902" w14:textId="77777777" w:rsidR="00A812DD" w:rsidRDefault="009D578F">
            <w:pPr>
              <w:spacing w:before="60" w:after="6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Hodowla bakterii tlenowych i grzybów w tym samym podłożu.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70910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39283" w14:textId="77777777" w:rsidR="00A812DD" w:rsidRDefault="00A812DD">
            <w:pPr>
              <w:widowControl w:val="0"/>
              <w:suppressLineNumbers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3B284C5" w14:textId="77777777" w:rsidR="00A812DD" w:rsidRDefault="00A812DD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329C4060" w14:textId="77777777" w:rsidR="00A812DD" w:rsidRDefault="00A812DD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2F5E6F4E" w14:textId="77777777" w:rsidR="00A812DD" w:rsidRDefault="00A812DD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54E0C14D" w14:textId="77777777" w:rsidR="00A812DD" w:rsidRDefault="009D578F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Sposób przyznawania punktów dla kryterium ocena techniczna (jakość):</w:t>
      </w:r>
    </w:p>
    <w:p w14:paraId="4D648921" w14:textId="77777777" w:rsidR="00A812DD" w:rsidRDefault="00A812DD">
      <w:pPr>
        <w:spacing w:line="276" w:lineRule="auto"/>
        <w:rPr>
          <w:rFonts w:ascii="Arial" w:hAnsi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A812DD" w14:paraId="13B6F82F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8EE2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F2A0D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D062C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28A79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A812DD" w14:paraId="1A2E71A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BEDB3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AE8EE" w14:textId="77777777" w:rsidR="00A812DD" w:rsidRDefault="009D578F">
            <w:pPr>
              <w:spacing w:before="60" w:after="60"/>
              <w:jc w:val="both"/>
              <w:textAlignment w:val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zastosowania specjalnych końcówek do przesiewania dodatnich prób krwi z uwzględnieniem zasad bezpieczeństwa zabezpieczające pracownika przed zakłuciem, kompatybilnych z podłożami.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EADE" w14:textId="741CFB79" w:rsidR="00A812DD" w:rsidRDefault="00B82591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9D578F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D42F5" w14:textId="77777777" w:rsidR="00A812DD" w:rsidRDefault="00A812DD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A812DD" w14:paraId="7C73C6D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B7D99" w14:textId="77777777" w:rsidR="00A812DD" w:rsidRDefault="009D578F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E0D34" w14:textId="77777777" w:rsidR="00A812DD" w:rsidRDefault="009D578F">
            <w:pPr>
              <w:spacing w:before="60" w:after="60"/>
              <w:jc w:val="both"/>
              <w:textAlignment w:val="auto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Hodowla bakterii tlenowych i grzybów w tym samym podłożu.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D6DB0" w14:textId="66F4CC68" w:rsidR="00A812DD" w:rsidRDefault="00B82591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9D578F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5FC11" w14:textId="77777777" w:rsidR="00A812DD" w:rsidRDefault="00A812DD">
            <w:pPr>
              <w:widowControl w:val="0"/>
              <w:suppressLineNumbers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0A09F9F" w14:textId="77777777" w:rsidR="00A812DD" w:rsidRDefault="00A812DD">
      <w:pPr>
        <w:spacing w:line="276" w:lineRule="auto"/>
        <w:rPr>
          <w:rFonts w:ascii="Arial" w:hAnsi="Arial"/>
          <w:sz w:val="18"/>
          <w:szCs w:val="18"/>
        </w:rPr>
      </w:pPr>
    </w:p>
    <w:p w14:paraId="2D184525" w14:textId="42C53121" w:rsidR="00A812DD" w:rsidRDefault="009D578F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Maksymalna ilość punktów w kryterium jakość : </w:t>
      </w:r>
      <w:r w:rsidR="0026751A">
        <w:rPr>
          <w:rFonts w:ascii="Arial" w:hAnsi="Arial"/>
          <w:b/>
          <w:bCs/>
          <w:sz w:val="18"/>
          <w:szCs w:val="18"/>
        </w:rPr>
        <w:t>2</w:t>
      </w:r>
      <w:r>
        <w:rPr>
          <w:rFonts w:ascii="Arial" w:hAnsi="Arial"/>
          <w:b/>
          <w:bCs/>
          <w:sz w:val="18"/>
          <w:szCs w:val="18"/>
        </w:rPr>
        <w:t>0</w:t>
      </w:r>
    </w:p>
    <w:p w14:paraId="172160A1" w14:textId="77777777" w:rsidR="00A812DD" w:rsidRDefault="00A812DD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7684CAB4" w14:textId="77777777" w:rsidR="00A812DD" w:rsidRDefault="00A812DD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5F614526" w14:textId="77777777" w:rsidR="00A812DD" w:rsidRDefault="009D578F">
      <w:pPr>
        <w:spacing w:line="276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Wymagane dokumenty:</w:t>
      </w:r>
    </w:p>
    <w:p w14:paraId="31A6BEAA" w14:textId="77777777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 Deklaracja zgodności CE oraz IVD dla urządzenia i testów*.</w:t>
      </w:r>
    </w:p>
    <w:p w14:paraId="64ED3CE6" w14:textId="77777777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Karty charakterystyki produktów*.</w:t>
      </w:r>
    </w:p>
    <w:p w14:paraId="7C4625C8" w14:textId="77777777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Karty charakterystyki substancji niebezpiecznych – jeśli dotyczy*.</w:t>
      </w:r>
    </w:p>
    <w:p w14:paraId="2A246EE1" w14:textId="77777777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4. Specyfikacja techniczna aparatu*.</w:t>
      </w:r>
    </w:p>
    <w:p w14:paraId="52BE8614" w14:textId="77777777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Materiały informacyjne dla testów oraz instrukcja obsługi w języku polskim*.</w:t>
      </w:r>
    </w:p>
    <w:p w14:paraId="722A8D05" w14:textId="77777777" w:rsidR="00A812DD" w:rsidRDefault="00A812DD">
      <w:pPr>
        <w:spacing w:line="276" w:lineRule="auto"/>
        <w:rPr>
          <w:rFonts w:ascii="Arial" w:hAnsi="Arial"/>
          <w:sz w:val="18"/>
          <w:szCs w:val="18"/>
        </w:rPr>
      </w:pPr>
    </w:p>
    <w:p w14:paraId="6570FE43" w14:textId="3D4ECAFB" w:rsidR="00A812DD" w:rsidRDefault="009D578F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*Dopuszcza się możliwość dostarczenia dokumentu w formie </w:t>
      </w:r>
      <w:r w:rsidR="00B82591">
        <w:rPr>
          <w:rFonts w:ascii="Arial" w:hAnsi="Arial"/>
          <w:sz w:val="18"/>
          <w:szCs w:val="18"/>
        </w:rPr>
        <w:t>elektronicznej</w:t>
      </w:r>
      <w:r>
        <w:rPr>
          <w:rFonts w:ascii="Arial" w:hAnsi="Arial"/>
          <w:sz w:val="18"/>
          <w:szCs w:val="18"/>
        </w:rPr>
        <w:t>.</w:t>
      </w:r>
    </w:p>
    <w:p w14:paraId="3AD73D83" w14:textId="77777777" w:rsidR="00A812DD" w:rsidRDefault="00A812DD">
      <w:pPr>
        <w:suppressAutoHyphens w:val="0"/>
        <w:spacing w:after="200" w:line="276" w:lineRule="auto"/>
        <w:textAlignment w:val="auto"/>
        <w:rPr>
          <w:rFonts w:ascii="Arial" w:eastAsia="PMingLiU" w:hAnsi="Arial"/>
          <w:kern w:val="0"/>
          <w:sz w:val="18"/>
          <w:szCs w:val="18"/>
          <w:lang w:eastAsia="zh-TW" w:bidi="th-TH"/>
        </w:rPr>
      </w:pPr>
    </w:p>
    <w:p w14:paraId="6E5F9704" w14:textId="77777777" w:rsidR="00A812DD" w:rsidRDefault="00A812DD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sectPr w:rsidR="00A812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F2B6" w14:textId="77777777" w:rsidR="009D578F" w:rsidRDefault="009D578F">
      <w:pPr>
        <w:rPr>
          <w:rFonts w:hint="eastAsia"/>
        </w:rPr>
      </w:pPr>
      <w:r>
        <w:separator/>
      </w:r>
    </w:p>
  </w:endnote>
  <w:endnote w:type="continuationSeparator" w:id="0">
    <w:p w14:paraId="794C0FF2" w14:textId="77777777" w:rsidR="009D578F" w:rsidRDefault="009D57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D2E3" w14:textId="77777777" w:rsidR="009D578F" w:rsidRDefault="009D57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21A158" w14:textId="77777777" w:rsidR="009D578F" w:rsidRDefault="009D57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65B8"/>
    <w:multiLevelType w:val="multilevel"/>
    <w:tmpl w:val="FC001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DD"/>
    <w:rsid w:val="000F79EC"/>
    <w:rsid w:val="0012723E"/>
    <w:rsid w:val="0026751A"/>
    <w:rsid w:val="006E5FEC"/>
    <w:rsid w:val="00766B45"/>
    <w:rsid w:val="009D578F"/>
    <w:rsid w:val="00A812DD"/>
    <w:rsid w:val="00AE63F6"/>
    <w:rsid w:val="00B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B67C"/>
  <w15:docId w15:val="{93DB96E7-66C8-4472-A5AB-E2644ECF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1642</Words>
  <Characters>9852</Characters>
  <Application>Microsoft Office Word</Application>
  <DocSecurity>0</DocSecurity>
  <Lines>82</Lines>
  <Paragraphs>22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Sakowska</dc:creator>
  <cp:lastModifiedBy>Paulina Witkowska</cp:lastModifiedBy>
  <cp:revision>5</cp:revision>
  <dcterms:created xsi:type="dcterms:W3CDTF">2025-12-29T09:37:00Z</dcterms:created>
  <dcterms:modified xsi:type="dcterms:W3CDTF">2025-12-29T11:00:00Z</dcterms:modified>
</cp:coreProperties>
</file>