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FF7D" w14:textId="77777777" w:rsidR="002455B1" w:rsidRPr="002455B1" w:rsidRDefault="002455B1" w:rsidP="002455B1">
      <w:pPr>
        <w:jc w:val="center"/>
        <w:rPr>
          <w:rFonts w:ascii="Arial" w:hAnsi="Arial" w:cs="Arial"/>
          <w:noProof/>
          <w:sz w:val="18"/>
          <w:szCs w:val="18"/>
        </w:rPr>
      </w:pPr>
      <w:r w:rsidRPr="002455B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94DCA57" wp14:editId="2858399C">
            <wp:extent cx="5756910" cy="522067"/>
            <wp:effectExtent l="0" t="0" r="0" b="0"/>
            <wp:docPr id="1138227687" name="Obraz 1138227687">
              <a:extLst xmlns:a="http://schemas.openxmlformats.org/drawingml/2006/main">
                <a:ext uri="{FF2B5EF4-FFF2-40B4-BE49-F238E27FC236}">
                  <a16:creationId xmlns:a16="http://schemas.microsoft.com/office/drawing/2014/main" id="{B1C3AADD-29E6-47CF-8C60-14013CAEA9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2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3B2C" w14:textId="77777777" w:rsidR="002455B1" w:rsidRPr="002455B1" w:rsidRDefault="002455B1" w:rsidP="002455B1">
      <w:pPr>
        <w:ind w:right="862"/>
        <w:rPr>
          <w:rFonts w:ascii="Arial" w:hAnsi="Arial" w:cs="Arial"/>
          <w:i/>
          <w:iCs/>
          <w:noProof/>
          <w:color w:val="404040" w:themeColor="text1" w:themeTint="BF"/>
          <w:sz w:val="18"/>
          <w:szCs w:val="18"/>
        </w:rPr>
      </w:pPr>
    </w:p>
    <w:p w14:paraId="6A3FDBE0" w14:textId="5CDD86B6" w:rsidR="002455B1" w:rsidRPr="002455B1" w:rsidRDefault="002455B1" w:rsidP="002455B1">
      <w:pPr>
        <w:suppressAutoHyphens/>
        <w:ind w:left="360"/>
        <w:rPr>
          <w:rFonts w:ascii="Arial" w:hAnsi="Arial" w:cs="Arial"/>
          <w:noProof/>
          <w:color w:val="3C3C3C"/>
          <w:sz w:val="18"/>
          <w:szCs w:val="18"/>
          <w:lang w:eastAsia="zh-CN"/>
        </w:rPr>
      </w:pPr>
      <w:r w:rsidRPr="002455B1">
        <w:rPr>
          <w:rFonts w:ascii="Arial" w:hAnsi="Arial" w:cs="Arial"/>
          <w:noProof/>
          <w:color w:val="3C3C3C"/>
          <w:sz w:val="18"/>
          <w:szCs w:val="18"/>
          <w:lang w:eastAsia="zh-CN"/>
        </w:rPr>
        <w:t xml:space="preserve">Załącznik nr 2 </w:t>
      </w:r>
      <w:r w:rsidR="00311CFF">
        <w:rPr>
          <w:rFonts w:ascii="Arial" w:hAnsi="Arial" w:cs="Arial"/>
          <w:noProof/>
          <w:color w:val="3C3C3C"/>
          <w:sz w:val="18"/>
          <w:szCs w:val="18"/>
          <w:lang w:eastAsia="zh-CN"/>
        </w:rPr>
        <w:t xml:space="preserve">do SWZ </w:t>
      </w:r>
      <w:r w:rsidRPr="002455B1">
        <w:rPr>
          <w:rFonts w:ascii="Arial" w:hAnsi="Arial" w:cs="Arial"/>
          <w:noProof/>
          <w:color w:val="3C3C3C"/>
          <w:sz w:val="18"/>
          <w:szCs w:val="18"/>
          <w:lang w:eastAsia="zh-CN"/>
        </w:rPr>
        <w:t>– formularz ofertowy techniczny</w:t>
      </w:r>
    </w:p>
    <w:p w14:paraId="2EE318DC" w14:textId="7DE46B78" w:rsidR="002455B1" w:rsidRPr="002455B1" w:rsidRDefault="002455B1" w:rsidP="002455B1">
      <w:pPr>
        <w:suppressAutoHyphens/>
        <w:ind w:left="360"/>
        <w:rPr>
          <w:rFonts w:ascii="Arial" w:hAnsi="Arial" w:cs="Arial"/>
          <w:b/>
          <w:bCs/>
          <w:noProof/>
          <w:color w:val="3C3C3C"/>
          <w:sz w:val="18"/>
          <w:szCs w:val="18"/>
          <w:lang w:eastAsia="zh-CN"/>
        </w:rPr>
      </w:pPr>
      <w:r w:rsidRPr="002455B1">
        <w:rPr>
          <w:rFonts w:ascii="Arial" w:hAnsi="Arial" w:cs="Arial"/>
          <w:noProof/>
          <w:color w:val="3C3C3C"/>
          <w:sz w:val="18"/>
          <w:szCs w:val="18"/>
          <w:lang w:eastAsia="zh-CN"/>
        </w:rPr>
        <w:t>Dotyczy postępowania</w:t>
      </w:r>
      <w:r w:rsidRPr="002455B1">
        <w:rPr>
          <w:rFonts w:ascii="Arial" w:hAnsi="Arial" w:cs="Arial"/>
          <w:b/>
          <w:bCs/>
          <w:noProof/>
          <w:color w:val="3C3C3C"/>
          <w:sz w:val="18"/>
          <w:szCs w:val="18"/>
          <w:lang w:eastAsia="zh-CN"/>
        </w:rPr>
        <w:t xml:space="preserve">: Zakup zestawów komputerowych z pakietem </w:t>
      </w:r>
      <w:r w:rsidR="00D26FAC">
        <w:rPr>
          <w:rFonts w:ascii="Arial" w:hAnsi="Arial" w:cs="Arial"/>
          <w:b/>
          <w:bCs/>
          <w:noProof/>
          <w:color w:val="3C3C3C"/>
          <w:sz w:val="18"/>
          <w:szCs w:val="18"/>
          <w:lang w:eastAsia="zh-CN"/>
        </w:rPr>
        <w:t>biurowym</w:t>
      </w:r>
      <w:r w:rsidRPr="002455B1">
        <w:rPr>
          <w:rFonts w:ascii="Arial" w:hAnsi="Arial" w:cs="Arial"/>
          <w:b/>
          <w:bCs/>
          <w:noProof/>
          <w:color w:val="3C3C3C"/>
          <w:sz w:val="18"/>
          <w:szCs w:val="18"/>
          <w:lang w:eastAsia="zh-CN"/>
        </w:rPr>
        <w:t xml:space="preserve"> oraz macierzy dyskowej do tworzenia i przechowywania kopii bezpieczeństwa systemów Szpitalnych działających w Placówce.</w:t>
      </w:r>
    </w:p>
    <w:p w14:paraId="593D8CC2" w14:textId="455D6954" w:rsidR="002455B1" w:rsidRPr="002455B1" w:rsidRDefault="002455B1" w:rsidP="002455B1">
      <w:pPr>
        <w:suppressAutoHyphens/>
        <w:ind w:left="360"/>
        <w:rPr>
          <w:rFonts w:ascii="Arial" w:hAnsi="Arial" w:cs="Arial"/>
          <w:noProof/>
          <w:color w:val="3C3C3C"/>
          <w:sz w:val="18"/>
          <w:szCs w:val="18"/>
          <w:lang w:eastAsia="zh-CN"/>
        </w:rPr>
      </w:pPr>
      <w:r w:rsidRPr="002455B1">
        <w:rPr>
          <w:rFonts w:ascii="Arial" w:hAnsi="Arial" w:cs="Arial"/>
          <w:noProof/>
          <w:color w:val="3C3C3C"/>
          <w:sz w:val="18"/>
          <w:szCs w:val="18"/>
          <w:lang w:eastAsia="zh-CN"/>
        </w:rPr>
        <w:t>Numer części:  2</w:t>
      </w:r>
    </w:p>
    <w:p w14:paraId="7F030FAD" w14:textId="77777777" w:rsidR="000B5C11" w:rsidRPr="002455B1" w:rsidRDefault="000B5C11" w:rsidP="000B5C11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2455B1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337D6AB1" w14:textId="77777777" w:rsidR="000B5C11" w:rsidRPr="002455B1" w:rsidRDefault="000B5C11" w:rsidP="000B5C11">
      <w:pPr>
        <w:rPr>
          <w:rFonts w:ascii="Arial" w:hAnsi="Arial" w:cs="Arial"/>
          <w:sz w:val="18"/>
          <w:szCs w:val="18"/>
        </w:rPr>
      </w:pPr>
    </w:p>
    <w:p w14:paraId="6D72D21A" w14:textId="3E16E35F" w:rsidR="000B5C11" w:rsidRPr="002455B1" w:rsidRDefault="000B5C11" w:rsidP="000B5C11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2455B1">
        <w:rPr>
          <w:rFonts w:ascii="Arial" w:hAnsi="Arial" w:cs="Arial"/>
          <w:sz w:val="18"/>
          <w:szCs w:val="18"/>
        </w:rPr>
        <w:t>Przedmiot przetargu:</w:t>
      </w:r>
      <w:r w:rsidRPr="002455B1">
        <w:rPr>
          <w:rFonts w:ascii="Arial" w:hAnsi="Arial" w:cs="Arial"/>
          <w:b/>
          <w:bCs/>
          <w:color w:val="000000"/>
          <w:sz w:val="18"/>
          <w:szCs w:val="18"/>
        </w:rPr>
        <w:t xml:space="preserve"> Macierz dyskowa</w:t>
      </w:r>
    </w:p>
    <w:p w14:paraId="0A2A0FC0" w14:textId="77777777" w:rsidR="000B5C11" w:rsidRPr="002455B1" w:rsidRDefault="000B5C11" w:rsidP="00322308">
      <w:pPr>
        <w:rPr>
          <w:rFonts w:ascii="Arial" w:hAnsi="Arial" w:cs="Arial"/>
          <w:b/>
          <w:bCs/>
          <w:sz w:val="18"/>
          <w:szCs w:val="18"/>
        </w:rPr>
      </w:pPr>
    </w:p>
    <w:p w14:paraId="01E68008" w14:textId="0543A9A2" w:rsidR="00516A18" w:rsidRPr="002455B1" w:rsidRDefault="00322308" w:rsidP="00322308">
      <w:pPr>
        <w:rPr>
          <w:rFonts w:ascii="Arial" w:hAnsi="Arial" w:cs="Arial"/>
          <w:b/>
          <w:bCs/>
          <w:sz w:val="18"/>
          <w:szCs w:val="18"/>
        </w:rPr>
      </w:pPr>
      <w:r w:rsidRPr="002455B1">
        <w:rPr>
          <w:rFonts w:ascii="Arial" w:hAnsi="Arial" w:cs="Arial"/>
          <w:b/>
          <w:bCs/>
          <w:sz w:val="18"/>
          <w:szCs w:val="18"/>
        </w:rPr>
        <w:t>Macierz</w:t>
      </w:r>
      <w:r w:rsidR="000B5C11" w:rsidRPr="002455B1">
        <w:rPr>
          <w:rFonts w:ascii="Arial" w:hAnsi="Arial" w:cs="Arial"/>
          <w:b/>
          <w:bCs/>
          <w:sz w:val="18"/>
          <w:szCs w:val="18"/>
        </w:rPr>
        <w:t xml:space="preserve"> dyskowa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564"/>
        <w:gridCol w:w="5528"/>
      </w:tblGrid>
      <w:tr w:rsidR="003F7AD3" w:rsidRPr="002455B1" w14:paraId="23A3114E" w14:textId="77777777" w:rsidTr="003D658B">
        <w:tc>
          <w:tcPr>
            <w:tcW w:w="14170" w:type="dxa"/>
            <w:gridSpan w:val="3"/>
            <w:shd w:val="clear" w:color="auto" w:fill="B3B3B3"/>
          </w:tcPr>
          <w:p w14:paraId="3FED5B9D" w14:textId="3F22E58B" w:rsidR="003F7AD3" w:rsidRPr="003F7AD3" w:rsidRDefault="003F7AD3" w:rsidP="003F7AD3">
            <w:pPr>
              <w:suppressAutoHyphens/>
              <w:autoSpaceDN w:val="0"/>
              <w:jc w:val="center"/>
              <w:rPr>
                <w:rFonts w:ascii="Arial" w:eastAsia="Aptos" w:hAnsi="Arial" w:cs="Arial"/>
                <w:b/>
                <w:bCs/>
                <w:noProof/>
                <w:kern w:val="3"/>
                <w:sz w:val="18"/>
                <w:szCs w:val="18"/>
                <w:lang w:eastAsia="en-US"/>
              </w:rPr>
            </w:pPr>
            <w:r w:rsidRPr="003F7AD3">
              <w:rPr>
                <w:rFonts w:ascii="Arial" w:eastAsia="Aptos" w:hAnsi="Arial" w:cs="Arial"/>
                <w:b/>
                <w:bCs/>
                <w:noProof/>
                <w:kern w:val="3"/>
                <w:sz w:val="18"/>
                <w:szCs w:val="18"/>
                <w:lang w:eastAsia="en-US"/>
              </w:rPr>
              <w:t xml:space="preserve">Podać producenta oraz nazwę  zaoferowanego </w:t>
            </w:r>
            <w:r>
              <w:rPr>
                <w:rFonts w:ascii="Arial" w:eastAsia="Aptos" w:hAnsi="Arial" w:cs="Arial"/>
                <w:b/>
                <w:bCs/>
                <w:noProof/>
                <w:kern w:val="3"/>
                <w:sz w:val="18"/>
                <w:szCs w:val="18"/>
                <w:lang w:eastAsia="en-US"/>
              </w:rPr>
              <w:t>urządzenia</w:t>
            </w:r>
            <w:r w:rsidRPr="003F7AD3">
              <w:rPr>
                <w:rFonts w:ascii="Arial" w:eastAsia="Aptos" w:hAnsi="Arial" w:cs="Arial"/>
                <w:b/>
                <w:bCs/>
                <w:noProof/>
                <w:kern w:val="3"/>
                <w:sz w:val="18"/>
                <w:szCs w:val="18"/>
                <w:lang w:eastAsia="en-US"/>
              </w:rPr>
              <w:t xml:space="preserve">: </w:t>
            </w:r>
          </w:p>
          <w:p w14:paraId="0FE0610B" w14:textId="77777777" w:rsidR="003F7AD3" w:rsidRPr="003F7AD3" w:rsidRDefault="003F7AD3" w:rsidP="003F7AD3">
            <w:pPr>
              <w:suppressAutoHyphens/>
              <w:autoSpaceDN w:val="0"/>
              <w:jc w:val="center"/>
              <w:rPr>
                <w:rFonts w:ascii="Arial" w:eastAsia="Aptos" w:hAnsi="Arial" w:cs="Arial"/>
                <w:b/>
                <w:bCs/>
                <w:noProof/>
                <w:kern w:val="3"/>
                <w:sz w:val="18"/>
                <w:szCs w:val="18"/>
                <w:lang w:eastAsia="en-US"/>
              </w:rPr>
            </w:pPr>
            <w:r w:rsidRPr="003F7AD3">
              <w:rPr>
                <w:rFonts w:ascii="Arial" w:eastAsia="Aptos" w:hAnsi="Arial" w:cs="Arial"/>
                <w:b/>
                <w:bCs/>
                <w:noProof/>
                <w:kern w:val="3"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7DC2577B" w14:textId="4EA54C35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7AD3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 xml:space="preserve">Zamawiający wymaga, aby </w:t>
            </w:r>
            <w:r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urządzenie</w:t>
            </w:r>
            <w:r w:rsidRPr="003F7AD3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 xml:space="preserve"> był</w:t>
            </w:r>
            <w:r w:rsid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o</w:t>
            </w:r>
            <w:r w:rsidRPr="003F7AD3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 xml:space="preserve"> </w:t>
            </w:r>
            <w:r w:rsidR="0090275B" w:rsidRP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fabrycznie now</w:t>
            </w:r>
            <w:r w:rsid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e</w:t>
            </w:r>
            <w:r w:rsidR="0090275B" w:rsidRP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, nieużywan</w:t>
            </w:r>
            <w:r w:rsid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e</w:t>
            </w:r>
            <w:r w:rsidR="0090275B" w:rsidRP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, niepochodząc</w:t>
            </w:r>
            <w:r w:rsid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e</w:t>
            </w:r>
            <w:r w:rsidR="0090275B" w:rsidRP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 xml:space="preserve"> z ekspozycji i wyprodukowan</w:t>
            </w:r>
            <w:r w:rsid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>e</w:t>
            </w:r>
            <w:r w:rsidR="0090275B" w:rsidRPr="0090275B">
              <w:rPr>
                <w:rFonts w:ascii="Arial" w:eastAsia="Aptos" w:hAnsi="Arial" w:cs="Arial"/>
                <w:b/>
                <w:bCs/>
                <w:noProof/>
                <w:color w:val="215E99" w:themeColor="text2" w:themeTint="BF"/>
                <w:kern w:val="3"/>
                <w:sz w:val="18"/>
                <w:szCs w:val="18"/>
                <w:lang w:eastAsia="en-US"/>
              </w:rPr>
              <w:t xml:space="preserve"> nie wcześniej niż 12 miesięcy przed datą dostawy.</w:t>
            </w:r>
          </w:p>
        </w:tc>
      </w:tr>
      <w:tr w:rsidR="003F7AD3" w:rsidRPr="002455B1" w14:paraId="3B4CDB15" w14:textId="77777777" w:rsidTr="002455B1">
        <w:tc>
          <w:tcPr>
            <w:tcW w:w="2078" w:type="dxa"/>
            <w:shd w:val="clear" w:color="auto" w:fill="B3B3B3"/>
          </w:tcPr>
          <w:p w14:paraId="233F975B" w14:textId="400D6E20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Funkcja / Moduł</w:t>
            </w:r>
          </w:p>
        </w:tc>
        <w:tc>
          <w:tcPr>
            <w:tcW w:w="6564" w:type="dxa"/>
            <w:shd w:val="clear" w:color="auto" w:fill="B3B3B3"/>
          </w:tcPr>
          <w:p w14:paraId="599E3534" w14:textId="5E469E03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5528" w:type="dxa"/>
            <w:shd w:val="clear" w:color="auto" w:fill="B3B3B3"/>
          </w:tcPr>
          <w:p w14:paraId="5628B181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Zaoferowano-</w:t>
            </w:r>
          </w:p>
          <w:p w14:paraId="256C001B" w14:textId="722E8896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Opisać spełnienie wymogów lub potwierdzić TAK/NIE</w:t>
            </w:r>
          </w:p>
        </w:tc>
      </w:tr>
      <w:tr w:rsidR="003F7AD3" w:rsidRPr="002455B1" w14:paraId="4F894484" w14:textId="77777777" w:rsidTr="002455B1">
        <w:tc>
          <w:tcPr>
            <w:tcW w:w="2078" w:type="dxa"/>
          </w:tcPr>
          <w:p w14:paraId="41DBAE7C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Obudowa - gęstość upakowania</w:t>
            </w:r>
          </w:p>
        </w:tc>
        <w:tc>
          <w:tcPr>
            <w:tcW w:w="6564" w:type="dxa"/>
          </w:tcPr>
          <w:p w14:paraId="23C19A06" w14:textId="77777777" w:rsidR="003F7AD3" w:rsidRPr="002455B1" w:rsidRDefault="003F7AD3" w:rsidP="003F7AD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1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55B1">
              <w:rPr>
                <w:rFonts w:ascii="Arial" w:hAnsi="Arial" w:cs="Arial"/>
                <w:sz w:val="18"/>
                <w:szCs w:val="18"/>
                <w:lang w:eastAsia="en-US"/>
              </w:rPr>
              <w:t>Możliwość zainstalowania w standardowej szafie RACK 19”</w:t>
            </w:r>
          </w:p>
          <w:p w14:paraId="553E9CE3" w14:textId="77777777" w:rsidR="003F7AD3" w:rsidRPr="002455B1" w:rsidRDefault="003F7AD3" w:rsidP="003F7AD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55B1">
              <w:rPr>
                <w:rFonts w:ascii="Arial" w:hAnsi="Arial" w:cs="Arial"/>
                <w:sz w:val="18"/>
                <w:szCs w:val="18"/>
                <w:lang w:eastAsia="en-US"/>
              </w:rPr>
              <w:t>Urządzenie musi wykorzystywać półki dyskowe wysokiej gęstości upakowania - co najmniej 24 dyski na 2U wysokości dla dysków 2,5 cala oraz półki dyskowe zawierające co najmniej 12 dysków 3,5 cala na wysokości 2U.</w:t>
            </w:r>
          </w:p>
          <w:p w14:paraId="5E159FF5" w14:textId="77777777" w:rsidR="003F7AD3" w:rsidRPr="002455B1" w:rsidRDefault="003F7AD3" w:rsidP="003F7AD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Urządzenie musi wykorzystywać </w:t>
            </w:r>
            <w:r w:rsidRPr="002455B1">
              <w:rPr>
                <w:rFonts w:ascii="Arial" w:hAnsi="Arial" w:cs="Arial"/>
                <w:sz w:val="18"/>
                <w:szCs w:val="18"/>
                <w:lang w:eastAsia="en-US"/>
              </w:rPr>
              <w:t>półki dyskowe wysokiej gęstości umożliwiające upakowanie co najmniej 90 dysków na maksymalnej wysokości 5U.</w:t>
            </w:r>
          </w:p>
        </w:tc>
        <w:tc>
          <w:tcPr>
            <w:tcW w:w="5528" w:type="dxa"/>
          </w:tcPr>
          <w:p w14:paraId="7EA65EA1" w14:textId="77777777" w:rsidR="003F7AD3" w:rsidRPr="002455B1" w:rsidRDefault="003F7AD3" w:rsidP="003F7AD3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F7AD3" w:rsidRPr="002455B1" w14:paraId="63E68276" w14:textId="77777777" w:rsidTr="002455B1">
        <w:tc>
          <w:tcPr>
            <w:tcW w:w="2078" w:type="dxa"/>
          </w:tcPr>
          <w:p w14:paraId="601669DF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Zarządzanie</w:t>
            </w:r>
          </w:p>
        </w:tc>
        <w:tc>
          <w:tcPr>
            <w:tcW w:w="6564" w:type="dxa"/>
          </w:tcPr>
          <w:p w14:paraId="56E87BC2" w14:textId="77777777" w:rsidR="003F7AD3" w:rsidRPr="002455B1" w:rsidRDefault="003F7AD3" w:rsidP="003F7AD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Urządzenie musi umożliwiać zarządzanie za pomocą interfejsu Ethernet. </w:t>
            </w:r>
          </w:p>
          <w:p w14:paraId="2FE0A2F6" w14:textId="77777777" w:rsidR="003F7AD3" w:rsidRPr="002455B1" w:rsidRDefault="003F7AD3" w:rsidP="003F7AD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Możliwość zarządzania całością dostępnych zasobów dyskowych z jednej konsoli administracyjnej.</w:t>
            </w:r>
          </w:p>
          <w:p w14:paraId="57D876E8" w14:textId="77777777" w:rsidR="003F7AD3" w:rsidRPr="002455B1" w:rsidRDefault="003F7AD3" w:rsidP="003F7AD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Funkcjonalność bezpośredniego monitoringu stanu w jakim w danym momencie macierz się znajduje.</w:t>
            </w:r>
          </w:p>
          <w:p w14:paraId="26567D52" w14:textId="77777777" w:rsidR="003F7AD3" w:rsidRPr="002455B1" w:rsidRDefault="003F7AD3" w:rsidP="003F7AD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Interfejs zarządzający GUI, </w:t>
            </w:r>
            <w:proofErr w:type="gramStart"/>
            <w:r w:rsidRPr="002455B1">
              <w:rPr>
                <w:rFonts w:ascii="Arial" w:hAnsi="Arial" w:cs="Arial"/>
                <w:sz w:val="18"/>
                <w:szCs w:val="18"/>
              </w:rPr>
              <w:t>CLI,</w:t>
            </w:r>
            <w:proofErr w:type="gramEnd"/>
            <w:r w:rsidRPr="002455B1">
              <w:rPr>
                <w:rFonts w:ascii="Arial" w:hAnsi="Arial" w:cs="Arial"/>
                <w:sz w:val="18"/>
                <w:szCs w:val="18"/>
              </w:rPr>
              <w:t xml:space="preserve"> oraz zapewnienie możliwości tworzenia skryptów użytkownika.</w:t>
            </w:r>
          </w:p>
        </w:tc>
        <w:tc>
          <w:tcPr>
            <w:tcW w:w="5528" w:type="dxa"/>
          </w:tcPr>
          <w:p w14:paraId="5F1280DD" w14:textId="77777777" w:rsidR="003F7AD3" w:rsidRPr="002455B1" w:rsidRDefault="003F7AD3" w:rsidP="003F7A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AD3" w:rsidRPr="002455B1" w14:paraId="108559BF" w14:textId="77777777" w:rsidTr="002455B1">
        <w:tc>
          <w:tcPr>
            <w:tcW w:w="2078" w:type="dxa"/>
          </w:tcPr>
          <w:p w14:paraId="1D27E374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Porty</w:t>
            </w:r>
          </w:p>
        </w:tc>
        <w:tc>
          <w:tcPr>
            <w:tcW w:w="6564" w:type="dxa"/>
          </w:tcPr>
          <w:p w14:paraId="1E4D92EA" w14:textId="77777777" w:rsidR="003F7AD3" w:rsidRPr="002455B1" w:rsidRDefault="003F7AD3" w:rsidP="003F7AD3">
            <w:pPr>
              <w:pStyle w:val="Akapitzlist"/>
              <w:numPr>
                <w:ilvl w:val="0"/>
                <w:numId w:val="19"/>
              </w:numPr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Wymagane jest nie mniej niż 4 porty 1Gb Ethernet Base-T oraz 8 portów 16Gb FC wyposażonych we wkładki SFP+ 16Gb SWL</w:t>
            </w:r>
          </w:p>
        </w:tc>
        <w:tc>
          <w:tcPr>
            <w:tcW w:w="5528" w:type="dxa"/>
          </w:tcPr>
          <w:p w14:paraId="2109D036" w14:textId="77777777" w:rsidR="003F7AD3" w:rsidRPr="002455B1" w:rsidRDefault="003F7AD3" w:rsidP="003F7AD3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AD3" w:rsidRPr="002455B1" w14:paraId="16BD4D5B" w14:textId="77777777" w:rsidTr="002455B1">
        <w:tc>
          <w:tcPr>
            <w:tcW w:w="2078" w:type="dxa"/>
          </w:tcPr>
          <w:p w14:paraId="66D0BBB7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Obsługa dysków</w:t>
            </w:r>
          </w:p>
        </w:tc>
        <w:tc>
          <w:tcPr>
            <w:tcW w:w="6564" w:type="dxa"/>
          </w:tcPr>
          <w:p w14:paraId="70BE58AF" w14:textId="77777777" w:rsidR="003F7AD3" w:rsidRPr="002455B1" w:rsidRDefault="003F7AD3" w:rsidP="003F7AD3">
            <w:pPr>
              <w:pStyle w:val="Akapitzlist"/>
              <w:numPr>
                <w:ilvl w:val="0"/>
                <w:numId w:val="2"/>
              </w:numPr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Macierz musi obsługiwać dyski SAS:</w:t>
            </w:r>
          </w:p>
          <w:p w14:paraId="515D1F6B" w14:textId="1A5DAD2A" w:rsidR="003F7AD3" w:rsidRPr="002455B1" w:rsidRDefault="003F7AD3" w:rsidP="003F7AD3">
            <w:pPr>
              <w:pStyle w:val="Akapitzlist"/>
              <w:numPr>
                <w:ilvl w:val="0"/>
                <w:numId w:val="16"/>
              </w:numPr>
              <w:ind w:left="6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prędkości obrotowej 10000 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>./min. i pojemności 2.4TB;</w:t>
            </w:r>
          </w:p>
          <w:p w14:paraId="7C8B30CC" w14:textId="16C8F5DC" w:rsidR="003F7AD3" w:rsidRPr="002455B1" w:rsidRDefault="003F7AD3" w:rsidP="003F7AD3">
            <w:pPr>
              <w:pStyle w:val="Akapitzlist"/>
              <w:numPr>
                <w:ilvl w:val="0"/>
                <w:numId w:val="16"/>
              </w:numPr>
              <w:ind w:left="6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prędkości obrotowej 7200 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>./min. i pojemnościach 8TB, 12TB, 16TB, 20TB;</w:t>
            </w:r>
          </w:p>
          <w:p w14:paraId="02DBF5A7" w14:textId="03A9EFB8" w:rsidR="003F7AD3" w:rsidRPr="002455B1" w:rsidRDefault="003F7AD3" w:rsidP="003F7AD3">
            <w:pPr>
              <w:pStyle w:val="Akapitzlist"/>
              <w:numPr>
                <w:ilvl w:val="0"/>
                <w:numId w:val="19"/>
              </w:numPr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lastRenderedPageBreak/>
              <w:t xml:space="preserve">Macierz musi obsługiwać dyski SSD o pojemnościach 1.92 </w:t>
            </w:r>
            <w:proofErr w:type="gramStart"/>
            <w:r w:rsidRPr="002455B1">
              <w:rPr>
                <w:rFonts w:ascii="Arial" w:hAnsi="Arial" w:cs="Arial"/>
                <w:sz w:val="18"/>
                <w:szCs w:val="18"/>
              </w:rPr>
              <w:t>TB ,</w:t>
            </w:r>
            <w:proofErr w:type="gramEnd"/>
            <w:r w:rsidRPr="002455B1">
              <w:rPr>
                <w:rFonts w:ascii="Arial" w:hAnsi="Arial" w:cs="Arial"/>
                <w:sz w:val="18"/>
                <w:szCs w:val="18"/>
              </w:rPr>
              <w:t xml:space="preserve"> 3.84 TB, 7.68 TB, 15.36 TB, 30.72 TB.</w:t>
            </w:r>
          </w:p>
          <w:p w14:paraId="61F0B799" w14:textId="1C39F0FE" w:rsidR="00774FA7" w:rsidRDefault="003F7AD3" w:rsidP="00343AA6">
            <w:pPr>
              <w:spacing w:after="160" w:line="27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musi obsługiwać, co najmniej </w:t>
            </w:r>
            <w:r w:rsidR="00D94646" w:rsidRPr="00D94646">
              <w:rPr>
                <w:rFonts w:ascii="Arial" w:hAnsi="Arial" w:cs="Arial"/>
                <w:sz w:val="18"/>
                <w:szCs w:val="18"/>
              </w:rPr>
              <w:t>390</w:t>
            </w:r>
            <w:r w:rsidR="00B94829" w:rsidRPr="004B7AF3">
              <w:rPr>
                <w:rFonts w:ascii="Arial" w:hAnsi="Arial" w:cs="Arial"/>
                <w:color w:val="0F4761" w:themeColor="accent1" w:themeShade="BF"/>
                <w:sz w:val="18"/>
                <w:szCs w:val="18"/>
              </w:rPr>
              <w:t xml:space="preserve"> </w:t>
            </w: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dysków na parę kontrolerów </w:t>
            </w:r>
            <w:r w:rsidRPr="002455B1">
              <w:rPr>
                <w:rFonts w:ascii="Arial" w:hAnsi="Arial" w:cs="Arial"/>
                <w:sz w:val="18"/>
                <w:szCs w:val="18"/>
              </w:rPr>
              <w:t>z zastosowaniem dodatkowych półek</w:t>
            </w: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8F533D" w14:textId="3BC02B68" w:rsidR="00343AA6" w:rsidRPr="00774FA7" w:rsidRDefault="00774FA7" w:rsidP="00343AA6">
            <w:pPr>
              <w:spacing w:after="160" w:line="27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343AA6" w:rsidRPr="00525B0A"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>Uzasadnienie wymogu</w:t>
            </w:r>
            <w:r w:rsidR="00D824BE"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> </w:t>
            </w:r>
            <w:r w:rsidR="00D94646"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>390</w:t>
            </w:r>
            <w:r w:rsidR="00D824BE"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 xml:space="preserve"> </w:t>
            </w:r>
            <w:r w:rsidR="00343AA6" w:rsidRPr="00525B0A"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>dysków:</w:t>
            </w:r>
            <w:r w:rsidR="00343AA6"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 xml:space="preserve"> </w:t>
            </w:r>
            <w:r w:rsidR="00343AA6" w:rsidRPr="00525B0A">
              <w:rPr>
                <w:rFonts w:ascii="Arial" w:hAnsi="Arial" w:cs="Arial"/>
                <w:sz w:val="18"/>
                <w:szCs w:val="18"/>
              </w:rPr>
              <w:t>Wymóg możliwości rozbudowy systemu do co najmniej</w:t>
            </w:r>
            <w:r w:rsidR="00D824BE">
              <w:rPr>
                <w:rFonts w:ascii="Arial" w:hAnsi="Arial" w:cs="Arial"/>
                <w:sz w:val="18"/>
                <w:szCs w:val="18"/>
              </w:rPr>
              <w:t> </w:t>
            </w:r>
            <w:r w:rsidR="00D94646">
              <w:rPr>
                <w:rFonts w:ascii="Arial" w:hAnsi="Arial" w:cs="Arial"/>
                <w:sz w:val="18"/>
                <w:szCs w:val="18"/>
              </w:rPr>
              <w:t>390</w:t>
            </w:r>
            <w:r w:rsidR="00D824BE" w:rsidRPr="00A1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AA6" w:rsidRPr="00525B0A">
              <w:rPr>
                <w:rFonts w:ascii="Arial" w:hAnsi="Arial" w:cs="Arial"/>
                <w:sz w:val="18"/>
                <w:szCs w:val="18"/>
              </w:rPr>
              <w:t>dysków wynika z przewidywanego długoterminowego wzrostu wolumenów danych, który będzie następstwem planowanego rozwoju usług informatycznych, zwiększenia liczby użytkowników systemów oraz rosnących potrzeb w zakresie przechowywania danych m.in. backupowych i systemowych.</w:t>
            </w:r>
            <w:r w:rsidR="00343A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AA6" w:rsidRPr="00525B0A">
              <w:rPr>
                <w:rFonts w:ascii="Arial" w:hAnsi="Arial" w:cs="Arial"/>
                <w:sz w:val="18"/>
                <w:szCs w:val="18"/>
              </w:rPr>
              <w:t>Zamawiający zakłada, że system będzie użytkowany przez wiele lat i musi zapewniać możliwość sukcesywnej rozbudowy bez konieczności wymiany całej platformy sprzętowej. Wymóg ten ma na celu zapewnienie odpowiedniej skalowalności, ochronę inwestycji oraz redukcję przyszłych kosztów migracji lub modernizacji infrastruktury.</w:t>
            </w:r>
            <w:r w:rsidR="00343AA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B6BBEBD" w14:textId="56792752" w:rsidR="003F7AD3" w:rsidRPr="002455B1" w:rsidRDefault="003F7AD3" w:rsidP="003F7AD3">
            <w:pPr>
              <w:pStyle w:val="Akapitzlist"/>
              <w:numPr>
                <w:ilvl w:val="0"/>
                <w:numId w:val="19"/>
              </w:numPr>
              <w:ind w:left="361"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Macierz musi umożliwiać rozbudowę o pojedyncze dyski fizyczne i pojedyncze półki rozszerzeń.</w:t>
            </w:r>
          </w:p>
          <w:p w14:paraId="7F8145E8" w14:textId="448291DF" w:rsidR="003F7AD3" w:rsidRPr="002455B1" w:rsidRDefault="003F7AD3" w:rsidP="003F7AD3">
            <w:pPr>
              <w:pStyle w:val="Akapitzlist"/>
              <w:numPr>
                <w:ilvl w:val="0"/>
                <w:numId w:val="19"/>
              </w:numPr>
              <w:ind w:left="361" w:hanging="36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musi umożliwiać konfigurację, która w jednym rozwiązaniu łączyć będzie półki rozszerzeń na dyski 2,5” z półkami na dyski 3,5”.</w:t>
            </w:r>
          </w:p>
        </w:tc>
        <w:tc>
          <w:tcPr>
            <w:tcW w:w="5528" w:type="dxa"/>
          </w:tcPr>
          <w:p w14:paraId="1D63BFAF" w14:textId="77777777" w:rsidR="003F7AD3" w:rsidRPr="002455B1" w:rsidRDefault="003F7AD3" w:rsidP="003F7A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AD3" w:rsidRPr="002455B1" w14:paraId="3A6497D0" w14:textId="77777777" w:rsidTr="002455B1">
        <w:tc>
          <w:tcPr>
            <w:tcW w:w="2078" w:type="dxa"/>
          </w:tcPr>
          <w:p w14:paraId="774D590C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Pojemność / dyski</w:t>
            </w:r>
          </w:p>
        </w:tc>
        <w:tc>
          <w:tcPr>
            <w:tcW w:w="6564" w:type="dxa"/>
          </w:tcPr>
          <w:p w14:paraId="6D5E1C04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ind w:left="361"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Macierz dyskowa musi być wyposażona w minimum: </w:t>
            </w:r>
          </w:p>
          <w:p w14:paraId="4E65ACA1" w14:textId="77777777" w:rsidR="003F7AD3" w:rsidRPr="002455B1" w:rsidRDefault="003F7AD3" w:rsidP="003F7AD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25 dysków o pojemności 20TB i prędkości obrotowej 7 200 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obr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>/min.</w:t>
            </w:r>
          </w:p>
          <w:p w14:paraId="2D9C7AF9" w14:textId="77777777" w:rsidR="003F7AD3" w:rsidRPr="002455B1" w:rsidRDefault="003F7AD3" w:rsidP="003F7AD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Macierz w momencie dostawy powinna posiadać co najmniej 70 wolnych slotów na dyski 3,5’’ pod rozbudowę w przyszłości.</w:t>
            </w:r>
          </w:p>
          <w:p w14:paraId="25599C79" w14:textId="77777777" w:rsidR="003F7AD3" w:rsidRDefault="003F7AD3" w:rsidP="003F7AD3">
            <w:pPr>
              <w:pStyle w:val="Akapitzlist"/>
              <w:numPr>
                <w:ilvl w:val="0"/>
                <w:numId w:val="25"/>
              </w:numPr>
              <w:ind w:left="361"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Macierz musi zapewnić możliwość wymiany uszkodzonych dysków podczas pracy systemu (Hot-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Swap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>). Macierz musi być umożliwiać stworzenie konfiguracji odpornej na awarię pojedynczego dysku oraz odporność na awarię dwóch dysków. Przestrzeń zapasowa powinna być realizowana za pomocą przestrzeni zapasowej rozmieszczonej na wszystkich dyskach w ramach grupy RAID lub w formie dysku nadmiarowego.</w:t>
            </w:r>
          </w:p>
          <w:p w14:paraId="21A61D54" w14:textId="0685D454" w:rsidR="00D34AAD" w:rsidRDefault="00D34AAD" w:rsidP="00D34AAD">
            <w:pPr>
              <w:pStyle w:val="Akapitzlist"/>
              <w:numPr>
                <w:ilvl w:val="0"/>
                <w:numId w:val="25"/>
              </w:numPr>
              <w:ind w:left="361"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Instalowane dyski w oferowanej macierzy zarówno dostarczane jak i przy ewentualnej rozbudowie muszą być: fabrycznie nowe, oryginalne, pochodzić od producenta macierzy dyskowej oraz być przeznaczone do pracy ciągłej 24/7h. (klasy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enterprise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57328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267E2B" w14:textId="5E36C659" w:rsidR="00D34AAD" w:rsidRPr="00D34AAD" w:rsidRDefault="00D34AAD" w:rsidP="00D34AAD">
            <w:pPr>
              <w:pStyle w:val="Akapitzlist"/>
              <w:numPr>
                <w:ilvl w:val="0"/>
                <w:numId w:val="25"/>
              </w:numPr>
              <w:ind w:left="361"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Dostarczane dyski muszą być na liście kompatybilności producenta macierzy, gwarantując pełne wsparcie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firmware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5528" w:type="dxa"/>
          </w:tcPr>
          <w:p w14:paraId="4AC31E0C" w14:textId="77777777" w:rsidR="003F7AD3" w:rsidRPr="002455B1" w:rsidRDefault="003F7AD3" w:rsidP="003F7A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AD3" w:rsidRPr="002455B1" w14:paraId="2C15AF88" w14:textId="77777777" w:rsidTr="002455B1">
        <w:tc>
          <w:tcPr>
            <w:tcW w:w="2078" w:type="dxa"/>
          </w:tcPr>
          <w:p w14:paraId="4020DE27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Obsługa pamięci Cache</w:t>
            </w:r>
          </w:p>
        </w:tc>
        <w:tc>
          <w:tcPr>
            <w:tcW w:w="6564" w:type="dxa"/>
          </w:tcPr>
          <w:p w14:paraId="47F764F8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ind w:left="361" w:hanging="284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Macierz </w:t>
            </w:r>
            <w:r w:rsidRPr="002455B1">
              <w:rPr>
                <w:rFonts w:ascii="Arial" w:hAnsi="Arial" w:cs="Arial"/>
                <w:sz w:val="18"/>
                <w:szCs w:val="18"/>
                <w:lang w:eastAsia="en-US"/>
              </w:rPr>
              <w:t xml:space="preserve">musi być wyposażona w minimum 64GB pamięci Cache.            </w:t>
            </w:r>
          </w:p>
        </w:tc>
        <w:tc>
          <w:tcPr>
            <w:tcW w:w="5528" w:type="dxa"/>
          </w:tcPr>
          <w:p w14:paraId="78E96006" w14:textId="5F65B33D" w:rsidR="003F7AD3" w:rsidRPr="002455B1" w:rsidRDefault="00494BB4" w:rsidP="003F7A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Oferujemy 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GB pamięci Cache.</w:t>
            </w:r>
          </w:p>
        </w:tc>
      </w:tr>
      <w:tr w:rsidR="003F7AD3" w:rsidRPr="002455B1" w14:paraId="2F24BB92" w14:textId="77777777" w:rsidTr="002455B1">
        <w:tc>
          <w:tcPr>
            <w:tcW w:w="2078" w:type="dxa"/>
          </w:tcPr>
          <w:p w14:paraId="56FBB6DE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Wsparcie dla systemów operacyjnych</w:t>
            </w:r>
          </w:p>
        </w:tc>
        <w:tc>
          <w:tcPr>
            <w:tcW w:w="6564" w:type="dxa"/>
          </w:tcPr>
          <w:p w14:paraId="11A340E9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ind w:left="361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 xml:space="preserve">Macierz musi wspierać następujące systemy operacyjne i </w:t>
            </w:r>
            <w:proofErr w:type="spellStart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wirtualizatory</w:t>
            </w:r>
            <w:proofErr w:type="spellEnd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 xml:space="preserve">: MS Windows Server 2016,2019/2022, </w:t>
            </w:r>
            <w:proofErr w:type="spellStart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VMware</w:t>
            </w:r>
            <w:proofErr w:type="spellEnd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vSphere</w:t>
            </w:r>
            <w:proofErr w:type="spellEnd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 xml:space="preserve"> 7.x/8.x, Red </w:t>
            </w:r>
            <w:proofErr w:type="spellStart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Hat</w:t>
            </w:r>
            <w:proofErr w:type="spellEnd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 xml:space="preserve"> Enterprise Linux 8.x/9.x</w:t>
            </w:r>
          </w:p>
        </w:tc>
        <w:tc>
          <w:tcPr>
            <w:tcW w:w="5528" w:type="dxa"/>
          </w:tcPr>
          <w:p w14:paraId="3EFDF174" w14:textId="77777777" w:rsidR="003F7AD3" w:rsidRPr="002455B1" w:rsidRDefault="003F7AD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</w:tc>
      </w:tr>
      <w:tr w:rsidR="003F7AD3" w:rsidRPr="002455B1" w14:paraId="582677BE" w14:textId="77777777" w:rsidTr="002455B1">
        <w:tc>
          <w:tcPr>
            <w:tcW w:w="2078" w:type="dxa"/>
          </w:tcPr>
          <w:p w14:paraId="2F3C8E02" w14:textId="77777777" w:rsidR="003F7AD3" w:rsidRPr="002455B1" w:rsidRDefault="003F7AD3" w:rsidP="003F7A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Rozwiązania</w:t>
            </w:r>
          </w:p>
          <w:p w14:paraId="41209E85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sz w:val="18"/>
                <w:szCs w:val="18"/>
              </w:rPr>
              <w:t>niezawodnościowe:</w:t>
            </w:r>
          </w:p>
        </w:tc>
        <w:tc>
          <w:tcPr>
            <w:tcW w:w="6564" w:type="dxa"/>
          </w:tcPr>
          <w:p w14:paraId="1B6E2C36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Wszystkie krytyczne komponenty urządzenia takie jak: kontrolery dyskowe, pamięć cache, zasilacze i wentylatory muszą być zdublowane tak, aby awaria pojedynczego elementu nie wpływała na funkcjonowanie całego systemu. </w:t>
            </w:r>
          </w:p>
          <w:p w14:paraId="6CA2C990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Komponenty te muszą być wymienialne w trakcie pracy macierzy.</w:t>
            </w:r>
          </w:p>
          <w:p w14:paraId="3C1B9120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Urządzenie musi cechować brak pojedynczego punktu awarii.</w:t>
            </w:r>
          </w:p>
          <w:p w14:paraId="089B3D30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Wsparcie dla zasilania z dwóch niezależnych źródeł prądu poprzez nadmiarowe zasilacze typu Hot-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Swap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8715A1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Wentylatory typu Hot-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Swap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55AE5C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Wbudowane co najmniej dwa kontrolery RAID.</w:t>
            </w:r>
          </w:p>
          <w:p w14:paraId="3D0ED657" w14:textId="77777777" w:rsidR="003F7AD3" w:rsidRPr="002455B1" w:rsidRDefault="003F7AD3" w:rsidP="003F7AD3">
            <w:pPr>
              <w:pStyle w:val="Akapitzlist"/>
              <w:numPr>
                <w:ilvl w:val="0"/>
                <w:numId w:val="25"/>
              </w:numPr>
              <w:ind w:left="361" w:hanging="284"/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Urządzenie musi posiadać pamięć typu Flash dla zapisu danych z pamięci cache na wypadek zaniku zasilania oraz system podtrzymania zasilania pozwalający na zapis danych z cache do pamięci typu Flash.</w:t>
            </w:r>
          </w:p>
        </w:tc>
        <w:tc>
          <w:tcPr>
            <w:tcW w:w="5528" w:type="dxa"/>
          </w:tcPr>
          <w:p w14:paraId="7D41960D" w14:textId="77777777" w:rsidR="003F7AD3" w:rsidRPr="002455B1" w:rsidRDefault="003F7AD3" w:rsidP="003F7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AD3" w:rsidRPr="002455B1" w14:paraId="2A8D2002" w14:textId="77777777" w:rsidTr="002455B1">
        <w:tc>
          <w:tcPr>
            <w:tcW w:w="2078" w:type="dxa"/>
          </w:tcPr>
          <w:p w14:paraId="56CC9A26" w14:textId="77777777" w:rsidR="003F7AD3" w:rsidRPr="002455B1" w:rsidRDefault="003F7AD3" w:rsidP="003F7A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Funkcjonalności:</w:t>
            </w:r>
          </w:p>
        </w:tc>
        <w:tc>
          <w:tcPr>
            <w:tcW w:w="6564" w:type="dxa"/>
          </w:tcPr>
          <w:p w14:paraId="024293C0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Musi istnieć funkcjonalność Cache dla procesu odczytu.</w:t>
            </w:r>
          </w:p>
          <w:p w14:paraId="4F2AEE76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Musi istnieć funkcjonalność 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Mirrored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 xml:space="preserve"> Cache dla procesu zapisu.</w:t>
            </w:r>
          </w:p>
          <w:p w14:paraId="3D0B0A2C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Możliwość wyłączenia cache dla poszczególnych wolumenów.</w:t>
            </w:r>
          </w:p>
          <w:p w14:paraId="6B921AA4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Funkcjonalność partycjonowania pamięci cache.</w:t>
            </w:r>
          </w:p>
          <w:p w14:paraId="5F14EB8E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Funkcjonalność separacji przestrzeni dyskowych pomiędzy różnymi podłączonymi hostami.</w:t>
            </w:r>
          </w:p>
          <w:p w14:paraId="409D88AB" w14:textId="35D248AC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Funkcjonalność dynamicznego zwiększania i zmniejszania rozmiaru wolumenów.</w:t>
            </w:r>
          </w:p>
          <w:p w14:paraId="7690D90A" w14:textId="5F3AB045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Funkcjonalność zarządzania ilością operacji wejścia / wyjścia wykonywanych na danym wolumenie – zarządzanie musi być możliwe zarówno poprzez określenie ilości operacji I/O na sekundę jak również przepustowości określonej w MB/s.</w:t>
            </w:r>
          </w:p>
          <w:p w14:paraId="2DE35B6E" w14:textId="69893356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Urządzenie musi obsługiwać funkcjonalność ochrony przed skasowaniem lub 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odmapowaniem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 xml:space="preserve"> od hosta woluminu dyskowego, do którego były przesłane operacje wejścia/wyjścia w określonym przez użytkownika czasie.</w:t>
            </w:r>
          </w:p>
          <w:p w14:paraId="06375C1D" w14:textId="4F835623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Dostępne sterowniki do obsługi wielościeżkowego dostępu do wolumenów, awarii ścieżki i rozłożenia obciążenia po ścieżkach dostępu dla podłączanych systemów operacyjnych (jeżeli jest wymagana licencja, należy dostarczyć licencje na całość oferowanych zasobów).</w:t>
            </w:r>
          </w:p>
          <w:p w14:paraId="14D56D26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Obsługa wirtualnych dysków logicznych:</w:t>
            </w:r>
          </w:p>
          <w:p w14:paraId="5AC90F83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Minimalna ilość wspieranych wirtualnych dysków logicznych (LUN) dla całej (globalnej) puli dyskowej musi wynosić co najmniej 2000. Funkcjonalność LUN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Masking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i LUN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Mapping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E650415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Urządzenie musi umożliwiać stworzenie mirrorowanych LUN pomiędzy różnymi typami dysków, dla których awaria jednej kopii lustra musi być niezauważalna dla systemu hosta.</w:t>
            </w:r>
          </w:p>
          <w:p w14:paraId="345A7E42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ind w:left="361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Funkcjonalność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thin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provisioning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0EAA81B9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Urządzenie musi obsługiwać funkcjonalność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thin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provisioning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dla wszystkich wolumenów. Musi istnieć możliwość wyłączenia tej funkcjonalności dla </w:t>
            </w: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wybranych wolumenów. Należy dostarczyć licencję umożliwiającą korzystanie z funkcji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thin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provisioning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na całą oferowaną pojemność urządzenia.</w:t>
            </w:r>
          </w:p>
          <w:p w14:paraId="3E3F3E38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ind w:left="361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Kopie migawkowe: </w:t>
            </w:r>
          </w:p>
          <w:p w14:paraId="1B42C409" w14:textId="77777777" w:rsidR="003F7AD3" w:rsidRPr="002455B1" w:rsidRDefault="003F7AD3" w:rsidP="003F7A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Urządzenie musi mieć możliwość wykonywania natychmiastowej kopii danych (point-in-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). Funkcjonalność ta powinna być realizowana w trybie 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-on-</w:t>
            </w:r>
            <w:proofErr w:type="spell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write</w:t>
            </w:r>
            <w:proofErr w:type="spell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. Licencja powinna obejmować możliwość stworzenia co najmniej 2000</w:t>
            </w:r>
            <w:r w:rsidRPr="002455B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2455B1">
              <w:rPr>
                <w:rFonts w:ascii="Arial" w:hAnsi="Arial" w:cs="Arial"/>
                <w:sz w:val="18"/>
                <w:szCs w:val="18"/>
              </w:rPr>
              <w:t>kopii.</w:t>
            </w:r>
          </w:p>
          <w:p w14:paraId="6B675101" w14:textId="77777777" w:rsidR="003F7AD3" w:rsidRPr="002455B1" w:rsidRDefault="003F7AD3" w:rsidP="003F7AD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Migracja wolumenów logicznych: </w:t>
            </w:r>
          </w:p>
          <w:p w14:paraId="759B74FE" w14:textId="77777777" w:rsidR="003F7AD3" w:rsidRPr="002455B1" w:rsidRDefault="003F7AD3" w:rsidP="003F7AD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Urządzenie musi mieć możliwość wykonania migracji wolumenów logicznych pomiędzy różnymi typami dysków wewnątrz macierzy bez zatrzymywania aplikacji korzystającej z tych wolumenów. Wymaga się, aby zasoby źródłowe podlegające migracji oraz </w:t>
            </w:r>
            <w:proofErr w:type="gramStart"/>
            <w:r w:rsidRPr="002455B1">
              <w:rPr>
                <w:rFonts w:ascii="Arial" w:hAnsi="Arial" w:cs="Arial"/>
                <w:sz w:val="18"/>
                <w:szCs w:val="18"/>
              </w:rPr>
              <w:t>zasoby</w:t>
            </w:r>
            <w:proofErr w:type="gramEnd"/>
            <w:r w:rsidRPr="002455B1">
              <w:rPr>
                <w:rFonts w:ascii="Arial" w:hAnsi="Arial" w:cs="Arial"/>
                <w:sz w:val="18"/>
                <w:szCs w:val="18"/>
              </w:rPr>
              <w:t xml:space="preserve"> do których są migrowane mogły być zabezpieczone różnymi poziomami RAID i egzystować na różnych technologicznie dyskach stałych (SAS, SSD, NL-SAS).</w:t>
            </w:r>
          </w:p>
          <w:p w14:paraId="67E4282F" w14:textId="77777777" w:rsidR="003F7AD3" w:rsidRPr="002455B1" w:rsidRDefault="003F7AD3" w:rsidP="003F7AD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Replikacja macierzy:</w:t>
            </w:r>
          </w:p>
          <w:p w14:paraId="36E69347" w14:textId="77777777" w:rsidR="003F7AD3" w:rsidRPr="002455B1" w:rsidRDefault="003F7AD3" w:rsidP="003F7AD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 xml:space="preserve">Urządzenie musi posiadać funkcjonalność replikacji danych przy użyciu synchronicznych oraz asynchronicznych transmisji danych przez łącza komunikacyjne IP oraz FC lub 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FCoE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 xml:space="preserve">. Macierz musi przechowywać w pełni zsynchronizowaną kopię w odległości do 300km. Przy znacznie większej odległości, do 8000km, replikacje mogą działać asynchronicznie. Oba rodzaje replikacji muszą wspierać program Vmware Site 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Recovery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 xml:space="preserve"> Manager do odzyskiwania danych po awarii.  Jeśli na obsługę powyższej funkcjonalności wymagana jest dodatkowa </w:t>
            </w:r>
            <w:proofErr w:type="gramStart"/>
            <w:r w:rsidRPr="002455B1">
              <w:rPr>
                <w:rFonts w:ascii="Arial" w:hAnsi="Arial" w:cs="Arial"/>
                <w:sz w:val="18"/>
                <w:szCs w:val="18"/>
              </w:rPr>
              <w:t>licencja,  jest</w:t>
            </w:r>
            <w:proofErr w:type="gramEnd"/>
            <w:r w:rsidRPr="002455B1">
              <w:rPr>
                <w:rFonts w:ascii="Arial" w:hAnsi="Arial" w:cs="Arial"/>
                <w:sz w:val="18"/>
                <w:szCs w:val="18"/>
              </w:rPr>
              <w:t xml:space="preserve"> ona wymagana w tym postępowaniu.</w:t>
            </w:r>
          </w:p>
          <w:p w14:paraId="46ACDC77" w14:textId="77777777" w:rsidR="003F7AD3" w:rsidRPr="002455B1" w:rsidRDefault="003F7AD3" w:rsidP="003F7AD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Macierz musi mieć funkcjonalność wykonywania pełnej kopii lokalnych wolumenów logicznych z wykorzystaniem jedynie kontrolerów macierzy. Licencja powinna obejmować możliwość stworzenia co najmniej </w:t>
            </w:r>
            <w:r w:rsidRPr="002455B1">
              <w:rPr>
                <w:rFonts w:ascii="Arial" w:hAnsi="Arial" w:cs="Arial"/>
                <w:sz w:val="18"/>
                <w:szCs w:val="18"/>
              </w:rPr>
              <w:t>2000 kopii.</w:t>
            </w:r>
          </w:p>
          <w:p w14:paraId="70929A9E" w14:textId="77777777" w:rsidR="003F7AD3" w:rsidRPr="002455B1" w:rsidRDefault="003F7AD3" w:rsidP="003F7AD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Macierz musi mieć m</w:t>
            </w:r>
            <w:r w:rsidRPr="002455B1">
              <w:rPr>
                <w:rFonts w:ascii="Arial" w:hAnsi="Arial" w:cs="Arial"/>
                <w:sz w:val="18"/>
                <w:szCs w:val="18"/>
              </w:rPr>
              <w:t>ożliwość dodawania kolejnych półek dyskowych oraz dysków bez przerywania pracy macierzy, dla dowolnej konfiguracji macierzy</w:t>
            </w:r>
          </w:p>
          <w:p w14:paraId="434293FD" w14:textId="77777777" w:rsidR="003F7AD3" w:rsidRPr="002455B1" w:rsidRDefault="003F7AD3" w:rsidP="003F7AD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Macierz musi posiadać funkcjonalność optymalizacji wykorzystania dysków SSD/Flash poprzez automatyczną identyfikację najbardziej obciążonych fragmentów wolumenów w zarządzanych zasobach dyskowych oraz ich automatyczną migrację na dyski SSD/Flash. Macierz musi również automatycznie rozpoznawać obciążenie fragmentów wolumenów na dyskach SSD/Flash i automatycznie migrować z dysków SSD/Flash nieobciążone fragmenty wolumenów. Macierz musi posiadać możliwość wykorzystania mechanizmu optymalizacji umiejscowienia danych pomiędzy przynajmniej 3 rodzajami dysków – SSD/Flash, Enterprise (SAS 10k) oraz NL-SAS, jak również przy wykorzystaniu dwóch dowolnych z wyżej wymienionych typów. Opisany powyżej proces optymalizacji musi posiadać funkcję włączenia/wyłączenia na poziomie pojedynczego </w:t>
            </w:r>
            <w:r w:rsidRPr="002455B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wolumenu. </w:t>
            </w:r>
            <w:r w:rsidRPr="002455B1">
              <w:rPr>
                <w:rFonts w:ascii="Arial" w:hAnsi="Arial" w:cs="Arial"/>
                <w:sz w:val="18"/>
                <w:szCs w:val="18"/>
              </w:rPr>
              <w:t xml:space="preserve">Jeśli </w:t>
            </w:r>
            <w:r w:rsidRPr="002455B1">
              <w:rPr>
                <w:rFonts w:ascii="Arial" w:hAnsi="Arial" w:cs="Arial"/>
                <w:sz w:val="18"/>
                <w:szCs w:val="18"/>
              </w:rPr>
              <w:lastRenderedPageBreak/>
              <w:t>na obsługę powyższej funkcjonalności wymagana jest dodatkowa licencja, jest ona wymagana w tym postępowaniu.</w:t>
            </w:r>
          </w:p>
          <w:p w14:paraId="6C341CA9" w14:textId="77777777" w:rsidR="003F7AD3" w:rsidRPr="002455B1" w:rsidRDefault="003F7AD3" w:rsidP="003F7AD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Macierz musi mieć możliwość aktualizacji oprogramowania macierzy (</w:t>
            </w:r>
            <w:proofErr w:type="spellStart"/>
            <w:r w:rsidRPr="002455B1">
              <w:rPr>
                <w:rFonts w:ascii="Arial" w:hAnsi="Arial" w:cs="Arial"/>
                <w:sz w:val="18"/>
                <w:szCs w:val="18"/>
              </w:rPr>
              <w:t>firmware</w:t>
            </w:r>
            <w:proofErr w:type="spellEnd"/>
            <w:r w:rsidRPr="002455B1">
              <w:rPr>
                <w:rFonts w:ascii="Arial" w:hAnsi="Arial" w:cs="Arial"/>
                <w:sz w:val="18"/>
                <w:szCs w:val="18"/>
              </w:rPr>
              <w:t>) w trybie online.</w:t>
            </w:r>
          </w:p>
          <w:p w14:paraId="263C71BD" w14:textId="77777777" w:rsidR="003F7AD3" w:rsidRPr="002455B1" w:rsidRDefault="003F7AD3" w:rsidP="003F7AD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Macierz musi umożliwiać tworzenie wolumenów o pojemności nie mniejszej niż 250 TB</w:t>
            </w:r>
          </w:p>
          <w:p w14:paraId="77E41A53" w14:textId="77777777" w:rsidR="003F7AD3" w:rsidRPr="002455B1" w:rsidRDefault="003F7AD3" w:rsidP="003F7AD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sz w:val="18"/>
                <w:szCs w:val="18"/>
              </w:rPr>
              <w:t>Do macierzy należy dołączyć przewody zasilające oraz 4 przewody światłowodowe o długości 5m.</w:t>
            </w:r>
          </w:p>
        </w:tc>
        <w:tc>
          <w:tcPr>
            <w:tcW w:w="5528" w:type="dxa"/>
          </w:tcPr>
          <w:p w14:paraId="04D2EAFA" w14:textId="77777777" w:rsidR="003F7AD3" w:rsidRPr="002455B1" w:rsidRDefault="003F7AD3" w:rsidP="003F7AD3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AD3" w:rsidRPr="002455B1" w14:paraId="75367E6E" w14:textId="77777777" w:rsidTr="002455B1">
        <w:tc>
          <w:tcPr>
            <w:tcW w:w="2078" w:type="dxa"/>
          </w:tcPr>
          <w:p w14:paraId="0311C67F" w14:textId="7A978848" w:rsidR="003F7AD3" w:rsidRPr="002455B1" w:rsidRDefault="00740DC6" w:rsidP="003F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Migracja danych</w:t>
            </w:r>
          </w:p>
        </w:tc>
        <w:tc>
          <w:tcPr>
            <w:tcW w:w="6564" w:type="dxa"/>
          </w:tcPr>
          <w:p w14:paraId="1030E2B2" w14:textId="77777777" w:rsidR="00740DC6" w:rsidRPr="00740DC6" w:rsidRDefault="00740DC6" w:rsidP="00740DC6">
            <w:pPr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Wymagania dotyczące migracji danych z macierzy innych producentów</w:t>
            </w:r>
          </w:p>
          <w:p w14:paraId="3E75762B" w14:textId="77777777" w:rsidR="00740DC6" w:rsidRPr="00740DC6" w:rsidRDefault="00740DC6" w:rsidP="00740DC6">
            <w:pPr>
              <w:numPr>
                <w:ilvl w:val="0"/>
                <w:numId w:val="6"/>
              </w:numPr>
              <w:ind w:left="365" w:hanging="365"/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Zamawiający wymaga, aby oferowana macierz zapewniała możliwość migracji danych z macierzy innych producentów do nowej macierzy w sposób:</w:t>
            </w:r>
          </w:p>
          <w:p w14:paraId="3B432F9B" w14:textId="77777777" w:rsidR="00740DC6" w:rsidRPr="00740DC6" w:rsidRDefault="00740DC6" w:rsidP="00740DC6">
            <w:pPr>
              <w:numPr>
                <w:ilvl w:val="0"/>
                <w:numId w:val="9"/>
              </w:numPr>
              <w:tabs>
                <w:tab w:val="left" w:pos="543"/>
              </w:tabs>
              <w:ind w:left="507" w:hanging="147"/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bezpieczny,</w:t>
            </w:r>
          </w:p>
          <w:p w14:paraId="1B861AF0" w14:textId="77777777" w:rsidR="00740DC6" w:rsidRPr="00740DC6" w:rsidRDefault="00740DC6" w:rsidP="00740DC6">
            <w:pPr>
              <w:numPr>
                <w:ilvl w:val="0"/>
                <w:numId w:val="9"/>
              </w:numPr>
              <w:tabs>
                <w:tab w:val="left" w:pos="543"/>
              </w:tabs>
              <w:ind w:left="507" w:hanging="147"/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nieprzerwany (bez konieczności wyłączania systemów korzystających z danych),</w:t>
            </w:r>
          </w:p>
          <w:p w14:paraId="02C42390" w14:textId="77777777" w:rsidR="00740DC6" w:rsidRPr="00740DC6" w:rsidRDefault="00740DC6" w:rsidP="00740DC6">
            <w:pPr>
              <w:numPr>
                <w:ilvl w:val="0"/>
                <w:numId w:val="9"/>
              </w:numPr>
              <w:tabs>
                <w:tab w:val="left" w:pos="543"/>
              </w:tabs>
              <w:ind w:left="507" w:hanging="147"/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gwarantujący integralność i poufność danych.</w:t>
            </w:r>
          </w:p>
          <w:p w14:paraId="3994EB88" w14:textId="77777777" w:rsidR="00740DC6" w:rsidRPr="00740DC6" w:rsidRDefault="00740DC6" w:rsidP="00740DC6">
            <w:pPr>
              <w:numPr>
                <w:ilvl w:val="0"/>
                <w:numId w:val="6"/>
              </w:numPr>
              <w:ind w:left="365" w:hanging="365"/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Wymóg z ust. 1 może być spełniony poprzez:</w:t>
            </w:r>
          </w:p>
          <w:p w14:paraId="211C9E4C" w14:textId="77777777" w:rsidR="00740DC6" w:rsidRPr="00740DC6" w:rsidRDefault="00740DC6" w:rsidP="00740DC6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natywne mechanizmy wirtualizacji zasobów dyskowych – rozumiane jako wbudowana funkcjonalność macierzy, która umożliwia wirtualizację zasobów dyskowych macierzy innych producentów oraz zarządzanie nimi bezpośrednio z poziomu oferowanego rozwiązania,</w:t>
            </w:r>
          </w:p>
          <w:p w14:paraId="61F18494" w14:textId="77777777" w:rsidR="00740DC6" w:rsidRPr="00740DC6" w:rsidRDefault="00740DC6" w:rsidP="00740DC6">
            <w:pPr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              lub</w:t>
            </w:r>
          </w:p>
          <w:p w14:paraId="0977F9BC" w14:textId="77777777" w:rsidR="00740DC6" w:rsidRPr="00740DC6" w:rsidRDefault="00740DC6" w:rsidP="00740DC6">
            <w:pPr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równoważne rozwiązania techniczne, w szczególności:</w:t>
            </w:r>
          </w:p>
          <w:p w14:paraId="5AB45E36" w14:textId="77777777" w:rsidR="00740DC6" w:rsidRPr="00740DC6" w:rsidRDefault="00740DC6" w:rsidP="00740DC6">
            <w:pPr>
              <w:numPr>
                <w:ilvl w:val="0"/>
                <w:numId w:val="9"/>
              </w:numPr>
              <w:ind w:left="648" w:hanging="288"/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dedykowane oprogramowanie producenta umożliwiające nieprzerwaną migrację danych,</w:t>
            </w:r>
          </w:p>
          <w:p w14:paraId="548F314E" w14:textId="77777777" w:rsidR="00740DC6" w:rsidRPr="00740DC6" w:rsidRDefault="00740DC6" w:rsidP="00740DC6">
            <w:pPr>
              <w:numPr>
                <w:ilvl w:val="0"/>
                <w:numId w:val="9"/>
              </w:numPr>
              <w:ind w:left="648" w:hanging="288"/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eastAsia="Calibri" w:hAnsi="Arial" w:cs="Arial"/>
                <w:sz w:val="18"/>
                <w:szCs w:val="18"/>
                <w:lang w:eastAsia="en-US"/>
                <w14:ligatures w14:val="standardContextual"/>
              </w:rPr>
              <w:t>rozwiązania sprzętowo-programowe integrujące istniejące macierze z nową macierzą w sposób gwarantujący ciągłość pracy systemów informatycznych Zamawiającego.</w:t>
            </w:r>
          </w:p>
          <w:p w14:paraId="14636890" w14:textId="6AD61445" w:rsidR="00740DC6" w:rsidRDefault="00740DC6" w:rsidP="00740DC6">
            <w:pPr>
              <w:numPr>
                <w:ilvl w:val="0"/>
                <w:numId w:val="6"/>
              </w:numPr>
              <w:ind w:left="365" w:hanging="365"/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</w:pPr>
            <w:r w:rsidRPr="00740DC6"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Oferent zobowiązany jest wskazać w ofercie</w:t>
            </w: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 xml:space="preserve"> (w kolumnie po prawej stronie lub oddzielnym dokumencie)</w:t>
            </w:r>
            <w:r w:rsidRPr="00740DC6"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 xml:space="preserve"> w jaki sposób spełnia wymaganie określone w ust. 1, tj. czy poprzez natywną funkcjonalność macierzy, czy poprzez rozwiązanie </w:t>
            </w:r>
            <w:proofErr w:type="gramStart"/>
            <w:r w:rsidRPr="00740DC6"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>równoważne</w:t>
            </w:r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  <w14:ligatures w14:val="standardContextual"/>
              </w:rPr>
              <w:t xml:space="preserve"> a także opisać krótko zastosowaną technologię.</w:t>
            </w:r>
          </w:p>
          <w:p w14:paraId="782D6327" w14:textId="611B15BF" w:rsidR="003F7AD3" w:rsidRPr="00E61D23" w:rsidRDefault="00E61D23" w:rsidP="00E61D23">
            <w:pPr>
              <w:pStyle w:val="Akapitzlist"/>
              <w:numPr>
                <w:ilvl w:val="0"/>
                <w:numId w:val="6"/>
              </w:numPr>
              <w:ind w:left="363" w:hanging="36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1D23">
              <w:rPr>
                <w:rFonts w:ascii="Arial" w:hAnsi="Arial" w:cs="Arial"/>
                <w:sz w:val="18"/>
                <w:szCs w:val="18"/>
              </w:rPr>
              <w:t>Wykonawca przeprowadzi</w:t>
            </w:r>
            <w:r w:rsidR="00572966">
              <w:rPr>
                <w:rFonts w:ascii="Arial" w:hAnsi="Arial" w:cs="Arial"/>
                <w:sz w:val="18"/>
                <w:szCs w:val="18"/>
              </w:rPr>
              <w:t xml:space="preserve"> testy integracyjne oraz </w:t>
            </w:r>
            <w:r w:rsidRPr="00E61D23">
              <w:rPr>
                <w:rFonts w:ascii="Arial" w:hAnsi="Arial" w:cs="Arial"/>
                <w:sz w:val="18"/>
                <w:szCs w:val="18"/>
              </w:rPr>
              <w:t>migrację danych z posiadanej macierzy FUJITSU Storage ETERNUS DX200 S5 na nową macierz, przy czym szczegółowy zakres i harmonogram migracji zostanie ustalony z Zamawiającym po złożeniu ofert.</w:t>
            </w:r>
          </w:p>
        </w:tc>
        <w:tc>
          <w:tcPr>
            <w:tcW w:w="5528" w:type="dxa"/>
          </w:tcPr>
          <w:p w14:paraId="0041BE84" w14:textId="77777777" w:rsidR="003F7AD3" w:rsidRPr="002455B1" w:rsidRDefault="003F7AD3" w:rsidP="003F7A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7AD3" w:rsidRPr="002455B1" w14:paraId="067EFF80" w14:textId="77777777" w:rsidTr="002455B1">
        <w:tc>
          <w:tcPr>
            <w:tcW w:w="2078" w:type="dxa"/>
          </w:tcPr>
          <w:p w14:paraId="469D2FCF" w14:textId="77777777" w:rsidR="003F7AD3" w:rsidRPr="002455B1" w:rsidRDefault="003F7AD3" w:rsidP="003F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Pozostałe wymagania</w:t>
            </w:r>
          </w:p>
        </w:tc>
        <w:tc>
          <w:tcPr>
            <w:tcW w:w="6564" w:type="dxa"/>
          </w:tcPr>
          <w:p w14:paraId="173FE501" w14:textId="77777777" w:rsidR="003F7AD3" w:rsidRPr="002455B1" w:rsidRDefault="003F7AD3" w:rsidP="00EA6ACE">
            <w:pPr>
              <w:pStyle w:val="Akapitzlist"/>
              <w:numPr>
                <w:ilvl w:val="0"/>
                <w:numId w:val="13"/>
              </w:numPr>
              <w:ind w:left="365" w:hanging="284"/>
              <w:jc w:val="both"/>
              <w:rPr>
                <w:rStyle w:val="FontStyle15"/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Dostarczone urządzenie musi mieć zainstalowane wszystkie najnowsze zestawy poprawek dotyczących dostarczanego sprzętu.</w:t>
            </w:r>
          </w:p>
          <w:p w14:paraId="094111D0" w14:textId="77777777" w:rsidR="003F7AD3" w:rsidRPr="002455B1" w:rsidRDefault="003F7AD3" w:rsidP="00EA6ACE">
            <w:pPr>
              <w:pStyle w:val="Akapitzlist"/>
              <w:numPr>
                <w:ilvl w:val="0"/>
                <w:numId w:val="13"/>
              </w:numPr>
              <w:ind w:left="365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bCs/>
                <w:sz w:val="18"/>
                <w:szCs w:val="18"/>
              </w:rPr>
              <w:t>Oferowane produkty (urządzenia, sprzęty) w przedmiotowym postępowaniu o udzielenie zamówienia publicznego muszą spełniać wymagania norm CE, tj. muszą spełniać wymogi niezbędne do oznaczenia produktów znakiem CE.</w:t>
            </w:r>
          </w:p>
          <w:p w14:paraId="2054FFC1" w14:textId="77777777" w:rsidR="003F7AD3" w:rsidRPr="002455B1" w:rsidRDefault="003F7AD3" w:rsidP="00EA6ACE">
            <w:pPr>
              <w:pStyle w:val="Akapitzlist"/>
              <w:numPr>
                <w:ilvl w:val="0"/>
                <w:numId w:val="13"/>
              </w:numPr>
              <w:ind w:left="365" w:hanging="284"/>
              <w:jc w:val="both"/>
              <w:rPr>
                <w:rStyle w:val="FontStyle15"/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Urządzenie musi być fabrycznie nowe.</w:t>
            </w:r>
          </w:p>
          <w:p w14:paraId="77E44283" w14:textId="77777777" w:rsidR="003F7AD3" w:rsidRPr="002455B1" w:rsidRDefault="003F7AD3" w:rsidP="00EA6ACE">
            <w:pPr>
              <w:pStyle w:val="Akapitzlist"/>
              <w:numPr>
                <w:ilvl w:val="0"/>
                <w:numId w:val="13"/>
              </w:numPr>
              <w:ind w:left="365" w:hanging="284"/>
              <w:jc w:val="both"/>
              <w:rPr>
                <w:rStyle w:val="FontStyle15"/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lastRenderedPageBreak/>
              <w:t>Urządzenie i komponenty muszą być oznakowane przez producenta w taki sposób, aby możliwa była identyfikacja zarówno produktu jak i producenta.</w:t>
            </w:r>
          </w:p>
          <w:p w14:paraId="0AD88CA9" w14:textId="77777777" w:rsidR="003F7AD3" w:rsidRPr="002455B1" w:rsidRDefault="003F7AD3" w:rsidP="00EA6ACE">
            <w:pPr>
              <w:pStyle w:val="Akapitzlist"/>
              <w:numPr>
                <w:ilvl w:val="0"/>
                <w:numId w:val="13"/>
              </w:numPr>
              <w:ind w:left="365" w:hanging="284"/>
              <w:jc w:val="both"/>
              <w:rPr>
                <w:rStyle w:val="FontStyle15"/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 xml:space="preserve">Urządzenie musi współpracować z siecią energetyczną o parametrach w przedziale 200V- 230V, 50 </w:t>
            </w:r>
            <w:proofErr w:type="spellStart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Hz</w:t>
            </w:r>
            <w:proofErr w:type="spellEnd"/>
            <w:r w:rsidRPr="002455B1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.</w:t>
            </w:r>
          </w:p>
          <w:p w14:paraId="15290CD8" w14:textId="77777777" w:rsidR="003F7AD3" w:rsidRDefault="003F7AD3" w:rsidP="00EA6ACE">
            <w:pPr>
              <w:pStyle w:val="Akapitzlist"/>
              <w:numPr>
                <w:ilvl w:val="0"/>
                <w:numId w:val="13"/>
              </w:numPr>
              <w:ind w:left="365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Urządzenie musi spełniać </w:t>
            </w:r>
            <w:proofErr w:type="gram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normy :</w:t>
            </w:r>
            <w:proofErr w:type="gram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CE, ROHS (oba dokumenty wymagane przy dostawie urządzeń)</w:t>
            </w:r>
          </w:p>
          <w:p w14:paraId="40EFE912" w14:textId="77777777" w:rsidR="0038665C" w:rsidRDefault="0038665C" w:rsidP="00AF5D38">
            <w:pPr>
              <w:pStyle w:val="Akapitzlist"/>
              <w:numPr>
                <w:ilvl w:val="0"/>
                <w:numId w:val="13"/>
              </w:numPr>
              <w:ind w:left="362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Zamawiający preferuje urządzenie o wysokim stopniu energooszczędności. Dlatego te element będzie oceniony w ramach kryterium oceny jakościowej oferty (patrz. rozdz. XVII SWZ dla części nr 2)</w:t>
            </w:r>
          </w:p>
          <w:p w14:paraId="28DF7761" w14:textId="77777777" w:rsidR="00223493" w:rsidRPr="00C5108A" w:rsidRDefault="00223493" w:rsidP="00223493">
            <w:pPr>
              <w:pStyle w:val="Akapitzlist"/>
              <w:ind w:left="3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08A">
              <w:rPr>
                <w:rFonts w:ascii="Arial" w:hAnsi="Arial" w:cs="Arial"/>
                <w:b/>
                <w:bCs/>
                <w:sz w:val="18"/>
                <w:szCs w:val="18"/>
              </w:rPr>
              <w:t>Efektywność energetyczna (kryterium K4 – Część nr 2)</w:t>
            </w:r>
          </w:p>
          <w:p w14:paraId="3A4FD817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 xml:space="preserve">Zamawiający wymaga od Wykonawcy umieszczenia w kolumnie nr 3 wartości </w:t>
            </w:r>
            <w:proofErr w:type="spellStart"/>
            <w:r w:rsidRPr="00C5108A">
              <w:rPr>
                <w:rFonts w:ascii="Arial" w:hAnsi="Arial" w:cs="Arial"/>
                <w:sz w:val="18"/>
                <w:szCs w:val="18"/>
              </w:rPr>
              <w:t>Pbadana</w:t>
            </w:r>
            <w:proofErr w:type="spellEnd"/>
            <w:r w:rsidRPr="00C5108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5108A">
              <w:rPr>
                <w:rFonts w:ascii="Arial" w:hAnsi="Arial" w:cs="Arial"/>
                <w:sz w:val="18"/>
                <w:szCs w:val="18"/>
              </w:rPr>
              <w:t>Idle</w:t>
            </w:r>
            <w:proofErr w:type="spellEnd"/>
            <w:r w:rsidRPr="00C5108A">
              <w:rPr>
                <w:rFonts w:ascii="Arial" w:hAnsi="Arial" w:cs="Arial"/>
                <w:sz w:val="18"/>
                <w:szCs w:val="18"/>
              </w:rPr>
              <w:t>) [W] oraz wskazania źródła (nazwa dokumentu, strona/punkt).</w:t>
            </w:r>
          </w:p>
          <w:p w14:paraId="2421B822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Wykonawca składa wraz z ofertą dokumenty dotyczące energooszczędności:</w:t>
            </w:r>
          </w:p>
          <w:p w14:paraId="3CA1B8A8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– PŚD poz. 11: certyfikat ENERGY STAR lub EPEAT (wydruk z oficjalnego rejestru) dotyczący oferowanego modelu/konfiguracji albo dokument równoważny (PŚD podlegający uzupełnieniu na zasadach SWZ),</w:t>
            </w:r>
          </w:p>
          <w:p w14:paraId="2335E9BD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– PŚD poz. 11a: dokument IDLE służący ocenie ofert w kryterium K4.</w:t>
            </w:r>
          </w:p>
          <w:p w14:paraId="59EE271C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Przez dokument równoważny dla poz. 11 rozumie się w szczególności:</w:t>
            </w:r>
          </w:p>
          <w:p w14:paraId="205F3B5C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– kartę katalogową / specyfikację producenta zawierającą parametry zużycia energii,</w:t>
            </w:r>
          </w:p>
          <w:p w14:paraId="0074F844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 xml:space="preserve">– raport z badań niezależnego laboratorium certyfikującego (np. TÜV, UL, </w:t>
            </w:r>
            <w:proofErr w:type="spellStart"/>
            <w:r w:rsidRPr="00C5108A">
              <w:rPr>
                <w:rFonts w:ascii="Arial" w:hAnsi="Arial" w:cs="Arial"/>
                <w:sz w:val="18"/>
                <w:szCs w:val="18"/>
              </w:rPr>
              <w:t>Intertek</w:t>
            </w:r>
            <w:proofErr w:type="spellEnd"/>
            <w:r w:rsidRPr="00C5108A">
              <w:rPr>
                <w:rFonts w:ascii="Arial" w:hAnsi="Arial" w:cs="Arial"/>
                <w:sz w:val="18"/>
                <w:szCs w:val="18"/>
              </w:rPr>
              <w:t>),</w:t>
            </w:r>
          </w:p>
          <w:p w14:paraId="2264F2E4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– inny dokument odnoszący się do oferowanego modelu/konfiguracji, potwierdzający niskie zużycie energii.</w:t>
            </w:r>
          </w:p>
          <w:p w14:paraId="0783440E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Dokument IDLE (poz. 11a) musi dotyczyć oferowanego modelu/konfiguracji i zawierać co najmniej pobór mocy w trybie bezczynności (</w:t>
            </w:r>
            <w:proofErr w:type="spellStart"/>
            <w:r w:rsidRPr="00C5108A">
              <w:rPr>
                <w:rFonts w:ascii="Arial" w:hAnsi="Arial" w:cs="Arial"/>
                <w:sz w:val="18"/>
                <w:szCs w:val="18"/>
              </w:rPr>
              <w:t>Idle</w:t>
            </w:r>
            <w:proofErr w:type="spellEnd"/>
            <w:r w:rsidRPr="00C5108A">
              <w:rPr>
                <w:rFonts w:ascii="Arial" w:hAnsi="Arial" w:cs="Arial"/>
                <w:sz w:val="18"/>
                <w:szCs w:val="18"/>
              </w:rPr>
              <w:t xml:space="preserve">) [W] oraz opis metody/warunków pomiaru (albo jednoznaczne odniesienie do metodyki pomiaru). Dokumentem IDLE może być w szczególności: dokument producenta (np. specyfikacja / Power &amp; </w:t>
            </w:r>
            <w:proofErr w:type="spellStart"/>
            <w:r w:rsidRPr="00C5108A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C5108A">
              <w:rPr>
                <w:rFonts w:ascii="Arial" w:hAnsi="Arial" w:cs="Arial"/>
                <w:sz w:val="18"/>
                <w:szCs w:val="18"/>
              </w:rPr>
              <w:t xml:space="preserve"> Guide / Planning Guide), raport z badań/pomiarów albo oświadczenie producenta (ewentualnie autoryzowanego partnera/dystrybutora).</w:t>
            </w:r>
          </w:p>
          <w:p w14:paraId="51D67B81" w14:textId="77777777" w:rsidR="005E0015" w:rsidRPr="00C5108A" w:rsidRDefault="005E0015" w:rsidP="005E0015">
            <w:pPr>
              <w:pStyle w:val="Akapitzlis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W przypadku gdy dokument IDLE wskazuje kilka wartości (np. zależnie od wariantu/konfiguracji lub warunków pomiaru), Wykonawca podaje wartość odpowiadającą konfiguracji oferowanej i wskazuje źródło; w razie braku jednoznaczności Zamawiający przyjmie do oceny najwyższą (najmniej korzystną) wartość.</w:t>
            </w:r>
          </w:p>
          <w:p w14:paraId="4805C187" w14:textId="44294600" w:rsidR="00AF5D38" w:rsidRPr="00C5108A" w:rsidRDefault="005E0015" w:rsidP="00C5108A">
            <w:pPr>
              <w:pStyle w:val="Akapitzlist"/>
              <w:ind w:left="36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08A">
              <w:rPr>
                <w:rFonts w:ascii="Arial" w:hAnsi="Arial" w:cs="Arial"/>
                <w:sz w:val="18"/>
                <w:szCs w:val="18"/>
              </w:rPr>
              <w:t>Zamawiający zastrzega sobie prawo do weryfikacji wiarygodności i równoważności przedłożonych dokumentów</w:t>
            </w:r>
          </w:p>
          <w:p w14:paraId="3098E69E" w14:textId="2BD6E650" w:rsidR="00AF5D38" w:rsidRPr="00AF5D38" w:rsidRDefault="00AF5D38" w:rsidP="0038665C">
            <w:pPr>
              <w:pStyle w:val="Akapitzlist"/>
              <w:ind w:left="3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</w:tcPr>
          <w:p w14:paraId="65717201" w14:textId="77777777" w:rsidR="003F7AD3" w:rsidRDefault="003F7AD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547422C2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1C064A37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6879A807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33C42A24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7128CA47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1ED0D415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55CDB79B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1D6BAC73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5266893E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56FC53C7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51CC2D88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6EF460BD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3F3F721B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7F7B0DE5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26D5E9A4" w14:textId="77777777" w:rsidR="00863373" w:rsidRDefault="00863373" w:rsidP="003F7AD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</w:p>
          <w:p w14:paraId="0C38BD6E" w14:textId="77777777" w:rsidR="00863373" w:rsidRPr="00C5108A" w:rsidRDefault="00863373" w:rsidP="0086337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  <w:proofErr w:type="spellStart"/>
            <w:r w:rsidRPr="00C5108A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Pbadana</w:t>
            </w:r>
            <w:proofErr w:type="spellEnd"/>
            <w:r w:rsidRPr="00C5108A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 xml:space="preserve"> (</w:t>
            </w:r>
            <w:proofErr w:type="spellStart"/>
            <w:r w:rsidRPr="00C5108A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Idle</w:t>
            </w:r>
            <w:proofErr w:type="spellEnd"/>
            <w:r w:rsidRPr="00C5108A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) = …………</w:t>
            </w:r>
            <w:proofErr w:type="gramStart"/>
            <w:r w:rsidRPr="00C5108A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…….</w:t>
            </w:r>
            <w:proofErr w:type="gramEnd"/>
            <w:r w:rsidRPr="00C5108A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. [W]</w:t>
            </w:r>
          </w:p>
          <w:p w14:paraId="74D41037" w14:textId="77C7DEE1" w:rsidR="00863373" w:rsidRPr="002455B1" w:rsidRDefault="00863373" w:rsidP="00863373">
            <w:pPr>
              <w:jc w:val="both"/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</w:pPr>
            <w:r w:rsidRPr="00C5108A">
              <w:rPr>
                <w:rStyle w:val="FontStyle15"/>
                <w:rFonts w:ascii="Arial" w:eastAsiaTheme="majorEastAsia" w:hAnsi="Arial" w:cs="Arial"/>
                <w:sz w:val="18"/>
                <w:szCs w:val="18"/>
              </w:rPr>
              <w:t>Źródło (dokument IDLE, strona/punkt): …………………………………………………………</w:t>
            </w:r>
          </w:p>
        </w:tc>
      </w:tr>
      <w:tr w:rsidR="003F7AD3" w:rsidRPr="002455B1" w14:paraId="68AFBF77" w14:textId="77777777" w:rsidTr="002455B1">
        <w:tc>
          <w:tcPr>
            <w:tcW w:w="2078" w:type="dxa"/>
          </w:tcPr>
          <w:p w14:paraId="511C8C2B" w14:textId="77777777" w:rsidR="003F7AD3" w:rsidRPr="002455B1" w:rsidRDefault="003F7AD3" w:rsidP="003F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5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Gwarancja</w:t>
            </w:r>
          </w:p>
        </w:tc>
        <w:tc>
          <w:tcPr>
            <w:tcW w:w="6564" w:type="dxa"/>
          </w:tcPr>
          <w:p w14:paraId="4F3A3014" w14:textId="4F1DBFD2" w:rsidR="003F7AD3" w:rsidRPr="002455B1" w:rsidRDefault="003F7AD3" w:rsidP="00EA6ACE">
            <w:pPr>
              <w:pStyle w:val="Akapitzlist"/>
              <w:numPr>
                <w:ilvl w:val="0"/>
                <w:numId w:val="17"/>
              </w:numPr>
              <w:ind w:left="365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Macierz dyskowa musi być objęta gwarancją świadczoną w reżimie 24x7 (7 dni w tygodniu, okno zgłoszeń 24h) przez okres 36 miesięcy z gwarantowanym czasem naprawy w ciągu 24 godzin od momentu zgłoszenia usterki. Ze względu na 36 miesięczny okres Zamawiający wymaga, aby usługi serwisowe świadczone były przez producenta oferowanego </w:t>
            </w:r>
            <w:proofErr w:type="gramStart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sprzętu,</w:t>
            </w:r>
            <w:proofErr w:type="gramEnd"/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autoryzowanych partnerów producenta. Dokument potwierdzający spełnienie przez oferowany serwis wymogu, o którym mowa w zdaniu poprzednim wymagany do złożenia wraz z ofertą. Uszkodzone dyski twarde pozostają u Zamawiającego.</w:t>
            </w:r>
          </w:p>
          <w:p w14:paraId="06533CAC" w14:textId="2CC4FEFC" w:rsidR="003F7AD3" w:rsidRPr="002455B1" w:rsidRDefault="003F7AD3" w:rsidP="00EA6ACE">
            <w:pPr>
              <w:pStyle w:val="Akapitzlist"/>
              <w:numPr>
                <w:ilvl w:val="0"/>
                <w:numId w:val="17"/>
              </w:numPr>
              <w:ind w:left="365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Zgłoszenia usterek muszą być akceptowane przez </w:t>
            </w:r>
            <w:r w:rsidR="008377F6">
              <w:rPr>
                <w:rFonts w:ascii="Arial" w:hAnsi="Arial" w:cs="Arial"/>
                <w:color w:val="000000"/>
                <w:sz w:val="18"/>
                <w:szCs w:val="18"/>
              </w:rPr>
              <w:t>serwis</w:t>
            </w: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 xml:space="preserve"> zarówno drogą email jak również drogą telefoniczną. Linia telefoniczna musi być czynna 24 godziny na dobę, 7 dni w tygodniu również w dni świąteczne. </w:t>
            </w:r>
          </w:p>
          <w:p w14:paraId="424B37F3" w14:textId="1A0F69DB" w:rsidR="003F7AD3" w:rsidRPr="002455B1" w:rsidRDefault="003F7AD3" w:rsidP="00EA6ACE">
            <w:pPr>
              <w:pStyle w:val="Akapitzlist"/>
              <w:numPr>
                <w:ilvl w:val="0"/>
                <w:numId w:val="17"/>
              </w:numPr>
              <w:ind w:left="365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55B1">
              <w:rPr>
                <w:rFonts w:ascii="Arial" w:hAnsi="Arial" w:cs="Arial"/>
                <w:color w:val="000000"/>
                <w:sz w:val="18"/>
                <w:szCs w:val="18"/>
              </w:rPr>
              <w:t>Serwis gwarancyjny musi obejmować nieodpłatnych dostęp do poprawek i nowych wersji oprogramowania wbudowanego, które są elementem zamówienia przez cały okres obowiązywania gwarancji.</w:t>
            </w:r>
          </w:p>
        </w:tc>
        <w:tc>
          <w:tcPr>
            <w:tcW w:w="5528" w:type="dxa"/>
          </w:tcPr>
          <w:p w14:paraId="5AAE3839" w14:textId="36A5A440" w:rsidR="003F7AD3" w:rsidRPr="002455B1" w:rsidRDefault="008C51DC" w:rsidP="003F7AD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Oferujemy …………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.miesięcy gwarancji i wsparcia</w:t>
            </w:r>
          </w:p>
        </w:tc>
      </w:tr>
    </w:tbl>
    <w:p w14:paraId="460CE2B3" w14:textId="77777777" w:rsidR="00322308" w:rsidRPr="002455B1" w:rsidRDefault="00322308" w:rsidP="00322308">
      <w:pPr>
        <w:rPr>
          <w:rFonts w:ascii="Arial" w:hAnsi="Arial" w:cs="Arial"/>
          <w:sz w:val="18"/>
          <w:szCs w:val="18"/>
        </w:rPr>
      </w:pPr>
    </w:p>
    <w:sectPr w:rsidR="00322308" w:rsidRPr="002455B1" w:rsidSect="002455B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98A"/>
    <w:multiLevelType w:val="hybridMultilevel"/>
    <w:tmpl w:val="375C1F34"/>
    <w:lvl w:ilvl="0" w:tplc="572A5B48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934"/>
    <w:multiLevelType w:val="hybridMultilevel"/>
    <w:tmpl w:val="49A48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3BA"/>
    <w:multiLevelType w:val="hybridMultilevel"/>
    <w:tmpl w:val="8D8A8A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61A7"/>
    <w:multiLevelType w:val="hybridMultilevel"/>
    <w:tmpl w:val="9ED00F12"/>
    <w:lvl w:ilvl="0" w:tplc="1E5E649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2D9C"/>
    <w:multiLevelType w:val="hybridMultilevel"/>
    <w:tmpl w:val="E924C7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C646A"/>
    <w:multiLevelType w:val="hybridMultilevel"/>
    <w:tmpl w:val="F6CEF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851E6"/>
    <w:multiLevelType w:val="hybridMultilevel"/>
    <w:tmpl w:val="F98C2526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FE849B9"/>
    <w:multiLevelType w:val="hybridMultilevel"/>
    <w:tmpl w:val="745C7B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6083E"/>
    <w:multiLevelType w:val="hybridMultilevel"/>
    <w:tmpl w:val="A6408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21F5"/>
    <w:multiLevelType w:val="hybridMultilevel"/>
    <w:tmpl w:val="1B944A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01A05"/>
    <w:multiLevelType w:val="hybridMultilevel"/>
    <w:tmpl w:val="3BFC95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05417"/>
    <w:multiLevelType w:val="hybridMultilevel"/>
    <w:tmpl w:val="8C041F8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904BE"/>
    <w:multiLevelType w:val="hybridMultilevel"/>
    <w:tmpl w:val="1BC6F6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E0F15"/>
    <w:multiLevelType w:val="hybridMultilevel"/>
    <w:tmpl w:val="B9D24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0A27"/>
    <w:multiLevelType w:val="hybridMultilevel"/>
    <w:tmpl w:val="39C47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3CAA"/>
    <w:multiLevelType w:val="hybridMultilevel"/>
    <w:tmpl w:val="E64EBD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8E5097"/>
    <w:multiLevelType w:val="hybridMultilevel"/>
    <w:tmpl w:val="E0B2CF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5B7C"/>
    <w:multiLevelType w:val="hybridMultilevel"/>
    <w:tmpl w:val="E1DAE2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3F69C3"/>
    <w:multiLevelType w:val="hybridMultilevel"/>
    <w:tmpl w:val="DEDAD8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D4617"/>
    <w:multiLevelType w:val="hybridMultilevel"/>
    <w:tmpl w:val="4988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C4582"/>
    <w:multiLevelType w:val="hybridMultilevel"/>
    <w:tmpl w:val="84704FD8"/>
    <w:lvl w:ilvl="0" w:tplc="49EA25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C935E7"/>
    <w:multiLevelType w:val="hybridMultilevel"/>
    <w:tmpl w:val="C458DB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653A7"/>
    <w:multiLevelType w:val="hybridMultilevel"/>
    <w:tmpl w:val="97BEE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D0639"/>
    <w:multiLevelType w:val="hybridMultilevel"/>
    <w:tmpl w:val="EBFCA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542F6C"/>
    <w:multiLevelType w:val="hybridMultilevel"/>
    <w:tmpl w:val="C016AB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7007"/>
    <w:multiLevelType w:val="hybridMultilevel"/>
    <w:tmpl w:val="70B2C7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64EB4"/>
    <w:multiLevelType w:val="hybridMultilevel"/>
    <w:tmpl w:val="28AEFA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5107">
    <w:abstractNumId w:val="19"/>
  </w:num>
  <w:num w:numId="2" w16cid:durableId="1110245637">
    <w:abstractNumId w:val="15"/>
  </w:num>
  <w:num w:numId="3" w16cid:durableId="117064848">
    <w:abstractNumId w:val="26"/>
  </w:num>
  <w:num w:numId="4" w16cid:durableId="1173573614">
    <w:abstractNumId w:val="13"/>
  </w:num>
  <w:num w:numId="5" w16cid:durableId="1207066637">
    <w:abstractNumId w:val="4"/>
  </w:num>
  <w:num w:numId="6" w16cid:durableId="1214196318">
    <w:abstractNumId w:val="22"/>
  </w:num>
  <w:num w:numId="7" w16cid:durableId="1236937420">
    <w:abstractNumId w:val="10"/>
  </w:num>
  <w:num w:numId="8" w16cid:durableId="138153681">
    <w:abstractNumId w:val="7"/>
  </w:num>
  <w:num w:numId="9" w16cid:durableId="141391291">
    <w:abstractNumId w:val="3"/>
  </w:num>
  <w:num w:numId="10" w16cid:durableId="1544294448">
    <w:abstractNumId w:val="0"/>
  </w:num>
  <w:num w:numId="11" w16cid:durableId="1617325697">
    <w:abstractNumId w:val="5"/>
  </w:num>
  <w:num w:numId="12" w16cid:durableId="1634363489">
    <w:abstractNumId w:val="9"/>
  </w:num>
  <w:num w:numId="13" w16cid:durableId="1745300293">
    <w:abstractNumId w:val="16"/>
  </w:num>
  <w:num w:numId="14" w16cid:durableId="1754861086">
    <w:abstractNumId w:val="14"/>
  </w:num>
  <w:num w:numId="15" w16cid:durableId="1939633408">
    <w:abstractNumId w:val="17"/>
  </w:num>
  <w:num w:numId="16" w16cid:durableId="1960061032">
    <w:abstractNumId w:val="20"/>
  </w:num>
  <w:num w:numId="17" w16cid:durableId="2137790342">
    <w:abstractNumId w:val="12"/>
  </w:num>
  <w:num w:numId="18" w16cid:durableId="24016556">
    <w:abstractNumId w:val="23"/>
  </w:num>
  <w:num w:numId="19" w16cid:durableId="259678438">
    <w:abstractNumId w:val="1"/>
  </w:num>
  <w:num w:numId="20" w16cid:durableId="425227422">
    <w:abstractNumId w:val="2"/>
  </w:num>
  <w:num w:numId="21" w16cid:durableId="495802096">
    <w:abstractNumId w:val="24"/>
  </w:num>
  <w:num w:numId="22" w16cid:durableId="565186057">
    <w:abstractNumId w:val="11"/>
  </w:num>
  <w:num w:numId="23" w16cid:durableId="571744236">
    <w:abstractNumId w:val="21"/>
  </w:num>
  <w:num w:numId="24" w16cid:durableId="808984928">
    <w:abstractNumId w:val="6"/>
  </w:num>
  <w:num w:numId="25" w16cid:durableId="845098127">
    <w:abstractNumId w:val="8"/>
  </w:num>
  <w:num w:numId="26" w16cid:durableId="869417374">
    <w:abstractNumId w:val="25"/>
  </w:num>
  <w:num w:numId="27" w16cid:durableId="910701042">
    <w:abstractNumId w:val="18"/>
  </w:num>
  <w:num w:numId="28" w16cid:durableId="98572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F9"/>
    <w:rsid w:val="00030740"/>
    <w:rsid w:val="000346CB"/>
    <w:rsid w:val="00046B33"/>
    <w:rsid w:val="000B5C11"/>
    <w:rsid w:val="000F3E58"/>
    <w:rsid w:val="001804FB"/>
    <w:rsid w:val="00197B5C"/>
    <w:rsid w:val="00223493"/>
    <w:rsid w:val="002455B1"/>
    <w:rsid w:val="0029623E"/>
    <w:rsid w:val="00311CFF"/>
    <w:rsid w:val="00322308"/>
    <w:rsid w:val="00335D33"/>
    <w:rsid w:val="00343AA6"/>
    <w:rsid w:val="00343F45"/>
    <w:rsid w:val="00357376"/>
    <w:rsid w:val="00360313"/>
    <w:rsid w:val="0038665C"/>
    <w:rsid w:val="00390A6E"/>
    <w:rsid w:val="003B004F"/>
    <w:rsid w:val="003C6DA1"/>
    <w:rsid w:val="003D658B"/>
    <w:rsid w:val="003E72F2"/>
    <w:rsid w:val="003F7AD3"/>
    <w:rsid w:val="00427398"/>
    <w:rsid w:val="00430407"/>
    <w:rsid w:val="00483E8E"/>
    <w:rsid w:val="00494BB4"/>
    <w:rsid w:val="004A3416"/>
    <w:rsid w:val="004B7AF3"/>
    <w:rsid w:val="0050447D"/>
    <w:rsid w:val="00516A18"/>
    <w:rsid w:val="0052123B"/>
    <w:rsid w:val="00572966"/>
    <w:rsid w:val="00573283"/>
    <w:rsid w:val="00595DB3"/>
    <w:rsid w:val="005C76CA"/>
    <w:rsid w:val="005E0015"/>
    <w:rsid w:val="00656A6A"/>
    <w:rsid w:val="006B4D84"/>
    <w:rsid w:val="006E49F9"/>
    <w:rsid w:val="006F4063"/>
    <w:rsid w:val="006F5852"/>
    <w:rsid w:val="00740DC6"/>
    <w:rsid w:val="00754F27"/>
    <w:rsid w:val="007671CE"/>
    <w:rsid w:val="00774FA7"/>
    <w:rsid w:val="00776F57"/>
    <w:rsid w:val="007D1F26"/>
    <w:rsid w:val="007D5AD8"/>
    <w:rsid w:val="00830F02"/>
    <w:rsid w:val="008377F6"/>
    <w:rsid w:val="00841B33"/>
    <w:rsid w:val="00863373"/>
    <w:rsid w:val="00897798"/>
    <w:rsid w:val="008C51DC"/>
    <w:rsid w:val="008D594D"/>
    <w:rsid w:val="008F22AA"/>
    <w:rsid w:val="0090275B"/>
    <w:rsid w:val="00926D54"/>
    <w:rsid w:val="00930693"/>
    <w:rsid w:val="009B026A"/>
    <w:rsid w:val="009C74ED"/>
    <w:rsid w:val="009F465C"/>
    <w:rsid w:val="00A00F40"/>
    <w:rsid w:val="00A10F85"/>
    <w:rsid w:val="00AC2619"/>
    <w:rsid w:val="00AC3F32"/>
    <w:rsid w:val="00AD638D"/>
    <w:rsid w:val="00AF5D38"/>
    <w:rsid w:val="00B56A50"/>
    <w:rsid w:val="00B73976"/>
    <w:rsid w:val="00B82ED5"/>
    <w:rsid w:val="00B94829"/>
    <w:rsid w:val="00BC245C"/>
    <w:rsid w:val="00C5108A"/>
    <w:rsid w:val="00C74C60"/>
    <w:rsid w:val="00D26FAC"/>
    <w:rsid w:val="00D34AAD"/>
    <w:rsid w:val="00D821F7"/>
    <w:rsid w:val="00D824BE"/>
    <w:rsid w:val="00D94646"/>
    <w:rsid w:val="00DA4761"/>
    <w:rsid w:val="00DA5DE2"/>
    <w:rsid w:val="00DB0852"/>
    <w:rsid w:val="00DE0319"/>
    <w:rsid w:val="00E3786B"/>
    <w:rsid w:val="00E5380B"/>
    <w:rsid w:val="00E559AF"/>
    <w:rsid w:val="00E61D23"/>
    <w:rsid w:val="00E66183"/>
    <w:rsid w:val="00EA6ACE"/>
    <w:rsid w:val="00EE3936"/>
    <w:rsid w:val="00F535B0"/>
    <w:rsid w:val="00F62482"/>
    <w:rsid w:val="00F8437B"/>
    <w:rsid w:val="00FB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3897"/>
  <w15:chartTrackingRefBased/>
  <w15:docId w15:val="{5B47F066-8B44-4304-80D8-0D185572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9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4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9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9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E49F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E4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9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9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9F9"/>
    <w:rPr>
      <w:b/>
      <w:bCs/>
      <w:smallCaps/>
      <w:color w:val="0F4761" w:themeColor="accent1" w:themeShade="BF"/>
      <w:spacing w:val="5"/>
    </w:rPr>
  </w:style>
  <w:style w:type="character" w:customStyle="1" w:styleId="FontStyle15">
    <w:name w:val="Font Style15"/>
    <w:rsid w:val="006E49F9"/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ny"/>
    <w:rsid w:val="006E49F9"/>
    <w:pPr>
      <w:widowControl w:val="0"/>
      <w:autoSpaceDE w:val="0"/>
      <w:autoSpaceDN w:val="0"/>
      <w:adjustRightInd w:val="0"/>
      <w:spacing w:line="269" w:lineRule="exact"/>
    </w:pPr>
    <w:rPr>
      <w:rFonts w:ascii="Tahoma" w:hAnsi="Tahoma"/>
    </w:rPr>
  </w:style>
  <w:style w:type="character" w:customStyle="1" w:styleId="AkapitzlistZnak">
    <w:name w:val="Akapit z listą Znak"/>
    <w:link w:val="Akapitzlist"/>
    <w:uiPriority w:val="34"/>
    <w:rsid w:val="00926D5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B5C11"/>
    <w:pPr>
      <w:suppressAutoHyphens/>
    </w:pPr>
    <w:rPr>
      <w:sz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B5C11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7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71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71C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1C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D34A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C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1E0C1-BF88-4429-8DC9-984ECE96C7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fe47ea-eccf-47b1-91a4-7f9e3af0dcfa"/>
    <ds:schemaRef ds:uri="d13509e8-4092-49de-bc6d-463dc81b2644"/>
  </ds:schemaRefs>
</ds:datastoreItem>
</file>

<file path=customXml/itemProps2.xml><?xml version="1.0" encoding="utf-8"?>
<ds:datastoreItem xmlns:ds="http://schemas.openxmlformats.org/officeDocument/2006/customXml" ds:itemID="{8AF5118D-20CF-4712-A199-A0F715AFE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59F7C-DCA8-40BD-880C-AD458FE85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2118</Words>
  <Characters>12713</Characters>
  <Application>Microsoft Office Word</Application>
  <DocSecurity>4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2</cp:revision>
  <dcterms:created xsi:type="dcterms:W3CDTF">2026-04-20T07:30:00Z</dcterms:created>
  <dcterms:modified xsi:type="dcterms:W3CDTF">2026-04-20T07:30:00Z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0x010100492944D3B49F6344A5284E23F86645DB</vt:lpwstr>
  </property>
  <property fmtid="{D5CDD505-2E9C-101B-9397-08002B2CF9AE}" pid="3" name="MediaServiceImageTags">
    <vt:lpwstr/>
  </property>
</Properties>
</file>