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C804" w14:textId="77777777" w:rsidR="000555E1" w:rsidRDefault="000555E1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55C374BD" w14:textId="724AF5B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drawing>
          <wp:inline distT="0" distB="0" distL="0" distR="0" wp14:anchorId="02AE8BAE" wp14:editId="68D2FDF4">
            <wp:extent cx="5756910" cy="522067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515B577E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Załącznik nr 2 </w:t>
      </w:r>
      <w:r w:rsidR="00C2066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do SWZ </w:t>
      </w: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– formularz ofertowy techniczny</w:t>
      </w:r>
    </w:p>
    <w:p w14:paraId="2A34AA18" w14:textId="629B4D39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z pakietem </w:t>
      </w:r>
      <w:r w:rsidR="008C68A2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biurowym</w:t>
      </w:r>
      <w:r w:rsidR="008C68A2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oraz macierzy dyskowej do tworzenia i przechowywania kopii bezpieczeństwa systemów Szpitalnych działających w Placówce.</w:t>
      </w:r>
    </w:p>
    <w:p w14:paraId="416E342F" w14:textId="2D91FCEB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Numer części:  </w:t>
      </w:r>
      <w:r w:rsidR="00F9322A"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1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7AEE6FD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z pakietem biurowym </w:t>
      </w:r>
    </w:p>
    <w:p w14:paraId="2A827A08" w14:textId="77777777" w:rsidR="00EE5895" w:rsidRPr="00EE5895" w:rsidRDefault="00EE5895" w:rsidP="00EE5895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E5895">
        <w:rPr>
          <w:rFonts w:ascii="Arial" w:hAnsi="Arial" w:cs="Arial"/>
          <w:b/>
          <w:bCs/>
          <w:color w:val="000000"/>
          <w:sz w:val="18"/>
          <w:szCs w:val="18"/>
        </w:rPr>
        <w:t>Komputer PC – maksymalna ilość 100 szt., w tym zamówienie gwarantowane 60 szt. oraz prawo opcji do 40 szt.</w:t>
      </w:r>
    </w:p>
    <w:p w14:paraId="2639A300" w14:textId="6A904B30" w:rsidR="0028779E" w:rsidRDefault="00EE5895" w:rsidP="00EE5895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E5895">
        <w:rPr>
          <w:rFonts w:ascii="Arial" w:hAnsi="Arial" w:cs="Arial"/>
          <w:b/>
          <w:bCs/>
          <w:color w:val="000000"/>
          <w:sz w:val="18"/>
          <w:szCs w:val="18"/>
        </w:rPr>
        <w:t>Postanowienia dotyczące części nr 1 – prawo opcji</w:t>
      </w:r>
    </w:p>
    <w:p w14:paraId="01F50AA3" w14:textId="77777777" w:rsidR="00EE5895" w:rsidRDefault="00EE5895" w:rsidP="00EE5895">
      <w:pPr>
        <w:numPr>
          <w:ilvl w:val="0"/>
          <w:numId w:val="14"/>
        </w:numPr>
        <w:spacing w:after="0" w:line="240" w:lineRule="auto"/>
        <w:ind w:left="284" w:hanging="284"/>
      </w:pPr>
      <w:r>
        <w:rPr>
          <w:rFonts w:ascii="Arial" w:eastAsia="Arial" w:hAnsi="Arial" w:cs="Arial"/>
          <w:color w:val="002060"/>
          <w:sz w:val="18"/>
        </w:rPr>
        <w:t>Zamówienie podstawowe (gwarantowane) obejmuje 60 zestawów komputerowych wraz z monitorami oraz pakietem biurowym.</w:t>
      </w:r>
    </w:p>
    <w:p w14:paraId="30A5C829" w14:textId="77777777" w:rsidR="00EE5895" w:rsidRDefault="00EE5895" w:rsidP="00EE5895">
      <w:pPr>
        <w:pStyle w:val="Akapitzlist"/>
        <w:numPr>
          <w:ilvl w:val="0"/>
          <w:numId w:val="14"/>
        </w:numPr>
        <w:spacing w:before="20" w:after="40" w:line="240" w:lineRule="auto"/>
        <w:ind w:left="284" w:hanging="284"/>
      </w:pPr>
      <w:r w:rsidRPr="00EE5895">
        <w:rPr>
          <w:rFonts w:ascii="Arial" w:eastAsia="Arial" w:hAnsi="Arial" w:cs="Arial"/>
          <w:color w:val="002060"/>
          <w:sz w:val="18"/>
        </w:rPr>
        <w:t>Powyższy podział ilościowy dotyczy całego zestawu komputerowego, tj. komputera, monitora oraz pakietu biurowego.</w:t>
      </w:r>
    </w:p>
    <w:p w14:paraId="62FCA888" w14:textId="77777777" w:rsidR="00EE5895" w:rsidRDefault="00EE5895" w:rsidP="00EE5895">
      <w:pPr>
        <w:numPr>
          <w:ilvl w:val="0"/>
          <w:numId w:val="14"/>
        </w:numPr>
        <w:spacing w:after="0" w:line="240" w:lineRule="auto"/>
        <w:ind w:left="284" w:hanging="284"/>
      </w:pPr>
      <w:r>
        <w:rPr>
          <w:rFonts w:ascii="Arial" w:eastAsia="Arial" w:hAnsi="Arial" w:cs="Arial"/>
          <w:color w:val="002060"/>
          <w:sz w:val="18"/>
        </w:rPr>
        <w:t xml:space="preserve"> Zamawiający zastrzega sobie prawo opcji polegające na możliwości zwiększenia zakresu dostawy o maksymalnie 40 dodatkowych zestawów komputerowych wraz z monitorami oraz pakietem biurowym.</w:t>
      </w:r>
    </w:p>
    <w:p w14:paraId="51FA9095" w14:textId="43E49269" w:rsidR="00EE5895" w:rsidRPr="00EE5895" w:rsidRDefault="00EE5895" w:rsidP="00EE5895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EE5895">
        <w:rPr>
          <w:rFonts w:ascii="Arial" w:eastAsia="Arial" w:hAnsi="Arial" w:cs="Arial"/>
          <w:color w:val="002060"/>
          <w:sz w:val="18"/>
        </w:rPr>
        <w:t>W przypadku skorzystania z prawa opcji Wykonawca zobowiązany będzie dostarczyć zestawy komputerowe o tej samej konfiguracji, tych samych parametrach technicznych i jakościowych oraz na tej samej cenie jednostkowej, jak dla zamówienia gwarantowanego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789D4944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fabrycznie nowy, nieużywany, niepochodzący z ekspozycji i wyprodukowany nie wcześniej niż 12 miesięcy przed datą dostawy.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5BE1" w14:textId="77777777" w:rsidR="004B2285" w:rsidRDefault="000F68A7" w:rsidP="00893E90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D546BF">
              <w:rPr>
                <w:rFonts w:ascii="Arial" w:hAnsi="Arial" w:cs="Arial"/>
                <w:strike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  <w:p w14:paraId="4A109E16" w14:textId="1948DA31" w:rsidR="00D546BF" w:rsidRPr="00D546BF" w:rsidRDefault="00D546BF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546BF">
              <w:rPr>
                <w:rFonts w:ascii="Arial" w:hAnsi="Arial" w:cs="Arial"/>
                <w:color w:val="0F4761" w:themeColor="accent1" w:themeShade="BF"/>
                <w:sz w:val="18"/>
                <w:szCs w:val="18"/>
              </w:rPr>
              <w:t>K</w:t>
            </w:r>
            <w:r w:rsidRPr="00D546BF">
              <w:rPr>
                <w:rFonts w:ascii="Arial" w:hAnsi="Arial" w:cs="Arial"/>
                <w:color w:val="0F4761" w:themeColor="accent1" w:themeShade="BF"/>
                <w:sz w:val="18"/>
                <w:szCs w:val="18"/>
              </w:rPr>
              <w:t>omputer będzie wykorzystywany dla potrzeb aplikacji biurowych, dostępu do Internetu oraz poczty elektronicznej, jako lokalna baza danych. W ofercie należy podać nazwę producenta, typ/model oferowanego sprzętu oraz numer katalogowy / P/N / SKU / oznaczenie konfiguracji — jeżeli występuje — albo inny opis lub oznaczenie pozwalające na jednoznaczną identyfikację oferowanej konfiguracji, w szczególności w przypadku konfiguracji przygotowywanej w modelu Build-to-Order.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 xml:space="preserve">rocesor: klasy x86, przeznaczony do komputerów stacjonarnych (desktop), o wydajności nie mniejszej niż 40 116 punktów w teście CPU Mark (Average CPU Mark) wg PassMark PerformanceTest – wartość ustalona na dzień 20.08.2025 r. zgodnie z 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lastRenderedPageBreak/>
              <w:t>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69764618" w14:textId="439562ED" w:rsidR="00DD2B58" w:rsidRPr="00EE5895" w:rsidRDefault="00DD2B5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5895">
              <w:rPr>
                <w:rFonts w:ascii="Arial" w:hAnsi="Arial" w:cs="Arial"/>
                <w:bCs/>
                <w:sz w:val="18"/>
                <w:szCs w:val="18"/>
              </w:rPr>
              <w:t>Wśród wymaganych w punkcie 13 portów USB zapewnienie łącznie co najmniej 2 portów o prędkości min. 10Gbps, zlokalizowanych na tylnej obudowie lub na przednim panelu obudowy.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lastRenderedPageBreak/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52B20558" w:rsidR="00FF6B62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w wersji </w:t>
            </w:r>
            <w:r w:rsidR="007A5D7F">
              <w:rPr>
                <w:rFonts w:ascii="Arial" w:hAnsi="Arial" w:cs="Arial"/>
                <w:sz w:val="18"/>
                <w:szCs w:val="18"/>
              </w:rPr>
              <w:t xml:space="preserve"> OEM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(zapewniający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1B7AE255" w14:textId="1283EF31" w:rsidR="004A7FF1" w:rsidRPr="002C09F7" w:rsidRDefault="004A7FF1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systemu </w:t>
            </w:r>
            <w:r>
              <w:rPr>
                <w:rFonts w:ascii="Arial" w:hAnsi="Arial" w:cs="Arial"/>
                <w:sz w:val="18"/>
                <w:szCs w:val="18"/>
              </w:rPr>
              <w:t>operacyjnego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sprzedaży. 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12DB465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8F02D1" w14:textId="16158F4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6BE144" w14:textId="420D73E8" w:rsidR="00FF6B62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69DCDB" w14:textId="5D13FD6F" w:rsidR="004A7FF1" w:rsidRPr="002C09F7" w:rsidRDefault="004A7FF1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podłączenia do kontrolera domeny AD firmy Microsoft</w:t>
            </w:r>
            <w:r w:rsidR="008A38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(funkcjonującego Zamawiającego)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5A55E53B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730C43" w14:textId="6A7BE5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Możliwość automatycznej synchronizacji plików i folderów roboczych znajdujących się na firmowym serwerze plików w centrum danych z prywatnym urządzeniem, </w:t>
            </w: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E27AEA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14:paraId="76DC1E34" w14:textId="436470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794BEED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Certyfikat/Klucz i uwierzytelnienie biometryczne</w:t>
            </w:r>
          </w:p>
          <w:p w14:paraId="244B3E31" w14:textId="5F618F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2BF3E7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F610C8" w14:textId="16C1D37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424E4" w14:textId="28487844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EE5895">
        <w:trPr>
          <w:trHeight w:val="56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5017C556" w14:textId="77777777" w:rsidR="00EE5895" w:rsidRDefault="00C96E21" w:rsidP="00EE5895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  <w:r w:rsidR="00EE58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C1DC8D0" w14:textId="051D4CCB" w:rsidR="00C96E21" w:rsidRPr="002C09F7" w:rsidRDefault="00C96E21" w:rsidP="00EE5895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F8" w:rsidRPr="002C09F7" w14:paraId="052362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541" w14:textId="4BE5B6C8" w:rsidR="007D13F8" w:rsidRPr="002C09F7" w:rsidRDefault="007D13F8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CF3" w14:textId="154FB67F" w:rsidR="007D13F8" w:rsidRPr="002C09F7" w:rsidRDefault="000145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Pakiet biurowy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E454" w14:textId="5171297A" w:rsidR="007D13F8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Wraz z komputerem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musi być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dostarczony pakiet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biurowy (</w:t>
            </w:r>
            <w:r w:rsidR="00CD632B" w:rsidRPr="002C09F7">
              <w:rPr>
                <w:rFonts w:ascii="Arial" w:hAnsi="Arial" w:cs="Arial"/>
                <w:bCs/>
                <w:sz w:val="18"/>
                <w:szCs w:val="18"/>
              </w:rPr>
              <w:t>nie dopuszcza się modelu subskrypcyjnego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B566D" w:rsidRPr="002C09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FA1A402" w14:textId="259D8BE1" w:rsidR="00B0273C" w:rsidRPr="002C09F7" w:rsidRDefault="00B0273C" w:rsidP="00B0273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</w:t>
            </w:r>
            <w:r>
              <w:rPr>
                <w:rFonts w:ascii="Arial" w:hAnsi="Arial" w:cs="Arial"/>
                <w:sz w:val="18"/>
                <w:szCs w:val="18"/>
              </w:rPr>
              <w:t>pakietu biurowego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A7FF1">
              <w:rPr>
                <w:rFonts w:ascii="Arial" w:hAnsi="Arial" w:cs="Arial"/>
                <w:sz w:val="18"/>
                <w:szCs w:val="18"/>
              </w:rPr>
              <w:t>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26D9A5CC" w14:textId="77777777" w:rsidR="00DB1D5F" w:rsidRPr="002C09F7" w:rsidRDefault="00DB1D5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6CF30A" w14:textId="55095A7B" w:rsidR="00DB1D5F" w:rsidRPr="002C09F7" w:rsidRDefault="0021236E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akiet biurowy musi spełniać następujące wymagania poprzez wbudowane mechanizmy, bez użycia dodatkowych aplikacji: </w:t>
            </w:r>
          </w:p>
          <w:p w14:paraId="3E43A8F6" w14:textId="46517545" w:rsidR="00DB1D5F" w:rsidRPr="002C09F7" w:rsidRDefault="007B6E7F" w:rsidP="00BF0E0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Musi zawierać co najmniej następujące komponenty: 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edytor tekstu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arkusz kalulacyjny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pogram do prezentacji oprogramowania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klient pocztowy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58A9E38" w14:textId="069F13A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0523E92" w14:textId="304AB803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3. </w:t>
            </w:r>
            <w:r w:rsidR="00BF3E07" w:rsidRPr="00BF3E07">
              <w:rPr>
                <w:rFonts w:ascii="Arial" w:hAnsi="Arial" w:cs="Arial"/>
                <w:bCs/>
                <w:sz w:val="18"/>
                <w:szCs w:val="18"/>
              </w:rPr>
              <w:t>Pakiet biurowy musi umożliwiać wstawianie obrazów do dokumentów z plików zapisanych lokalnie oraz z typowych źródeł systemowych (np. OneDrive/SharePoint, foldery zsynchronizowane, Phone Link/USB), bez konieczności stosowania dodatkowych, płatnych wtyczek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8BB09AC" w14:textId="79EB51DA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4. Obsługa formatów (ODF) w wersji 1.4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CBA797" w14:textId="53B0140D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5. Dostępna pełna polska wersja językowa interfejsu użytkownika, systemu komunikatów i podręcznej kontekstowej pomocy technicznej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349BB7E" w14:textId="24FE1A4E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38685D" w:rsidRPr="0038685D">
              <w:rPr>
                <w:rFonts w:ascii="Arial" w:hAnsi="Arial" w:cs="Arial"/>
                <w:bCs/>
                <w:sz w:val="18"/>
                <w:szCs w:val="18"/>
              </w:rPr>
              <w:t>Zgodność formatów OOXML: pełne otwieranie, edycja i zapisywanie plików .docx/.xlsx/.pptx bez degradacji układu, stylów, krojów czcionek, tabel, wykresów, pól, przypisów, odnośników, elementów osadzonych oraz śledzenia zmian (Track Changes).</w:t>
            </w:r>
          </w:p>
          <w:p w14:paraId="04DE9505" w14:textId="4343E52C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7. Wykonywanie i edycja makr oraz kodu zapisanego w języku Visual Basic w plikach xls, xlsx oraz formuł w plikach wytworzonych w MS Office 2010, MS Office 2013, MS Office 2016 oraz MS Office 2019, MS Office 2019, MS Office 2021 bez utraty danych oraz bez konieczności przerabiania dokumentów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7CD405" w14:textId="1F84C8C6" w:rsidR="00D0416B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8.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 xml:space="preserve">Poczta i organizacja pracy: aplikacja kliencka 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funkcjonaln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ością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(poczta, kalendarz, zadania, kontakty), z obsługą MAPI i integracją z Microsoft Exchange/Exchange Online (w tym wysyłka/odbiór, planowanie spotkań, zaproszenia, zasoby, reguły).</w:t>
            </w:r>
          </w:p>
          <w:p w14:paraId="41520197" w14:textId="4417223B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>Możliwość zapisywania wytworzonych dokumentów bezpośrednio w formacie PDF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BF0B43C" w14:textId="46890428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Możliwość zintegrowania uwierzytelniania użytkowników z usługą katalogową Active Directory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2C86EE7" w14:textId="11713A6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Możliwość nadawania uprawnień do modyfikacji i formatowania dokumentów lub ich elementów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47ADC90" w14:textId="5F08B37B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Posiadać pełną kompatybilność z systemami operacyjnymi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icrosoft</w:t>
            </w:r>
            <w:r w:rsidR="002A711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5D1D7E1" w14:textId="34E10E8C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Rodzaj licencji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- Licencja wieczysta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F348FA8" w14:textId="40F9B77E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Oprogramowanie musi być dostarczone w polskiej wersji językowej. </w:t>
            </w:r>
          </w:p>
          <w:p w14:paraId="477B3771" w14:textId="38F7D4F8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Utrzymanie wsparcia technicznego producenta </w:t>
            </w:r>
            <w:r w:rsidR="00F358F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produktu 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>(aktualizacje  zabezpiecze</w:t>
            </w:r>
            <w:r w:rsidR="0021236E" w:rsidRPr="002C09F7">
              <w:rPr>
                <w:rFonts w:ascii="Arial" w:hAnsi="Arial" w:cs="Arial"/>
                <w:bCs/>
                <w:sz w:val="18"/>
                <w:szCs w:val="18"/>
              </w:rPr>
              <w:t>ń/poprawki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co najmniej do </w:t>
            </w:r>
            <w:r w:rsidR="00F9443A" w:rsidRPr="002C09F7">
              <w:rPr>
                <w:rFonts w:ascii="Arial" w:hAnsi="Arial" w:cs="Arial"/>
                <w:bCs/>
                <w:sz w:val="18"/>
                <w:szCs w:val="18"/>
              </w:rPr>
              <w:t>października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2029.</w:t>
            </w:r>
          </w:p>
          <w:p w14:paraId="16958DC2" w14:textId="77777777" w:rsidR="00A14D2D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lastRenderedPageBreak/>
              <w:t>16. Licencja musi pochodzić z oficjalnego kanału sprzedaży producenta oprogramowania. Licencja musi być nowa. Zamawiający zastrzega możliwość weryfikacji kanału sprzedaży i potwierdzenia legalności licencji u producenta oprogramowania. Zamawiający nie wyraża zgody na dostarczenie licencji używanej lub pochodzącej z nieoficjalnego kanału sprzedaży. Zamawiający nie dopuszcza zaoferowania pakietów biurowych, programów i planów licencyjnych opartych o rozwiązania chmury oraz rozwiązań wymagających stałych lub dodatkowych opłat w okresie używania zakupionego produktu.</w:t>
            </w:r>
          </w:p>
          <w:p w14:paraId="5D3BCCBE" w14:textId="77777777" w:rsidR="00F41A95" w:rsidRDefault="00F41A95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79F779" w14:textId="77777777" w:rsidR="00D0416B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Uwaga:</w:t>
            </w:r>
          </w:p>
          <w:p w14:paraId="2515F113" w14:textId="77777777" w:rsidR="00D0416B" w:rsidRPr="00D0416B" w:rsidRDefault="00D0416B" w:rsidP="00D0416B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Wykonawca, który oferuje rozwiązanie „równoważne”, składa wraz z ofertą:</w:t>
            </w:r>
          </w:p>
          <w:p w14:paraId="6DC6B80F" w14:textId="77777777" w:rsidR="00D0416B" w:rsidRPr="00D0416B" w:rsidRDefault="00D0416B" w:rsidP="00C57208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Oświadczenie producenta/dystrybutora o spełnieniu wymagań zgodności z OOXML, VBA, MAPI/Exchange, w polskiej wersji językowej, z wyszczególnieniem obsługiwanych funkcji.</w:t>
            </w:r>
          </w:p>
          <w:p w14:paraId="23FDA40E" w14:textId="16B20C35" w:rsidR="00D0416B" w:rsidRPr="00FF59FE" w:rsidRDefault="00D0416B" w:rsidP="00FF59FE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Dowody techniczne: fragmenty dokumentacji producenta (manuale, datasheety, KB), ewentualnie certyfikaty kompatybilności.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0416B">
              <w:rPr>
                <w:rFonts w:ascii="Arial" w:hAnsi="Arial" w:cs="Arial"/>
                <w:bCs/>
                <w:sz w:val="18"/>
                <w:szCs w:val="18"/>
              </w:rPr>
              <w:t>w polskiej wersji językowej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przetłumaczone na język polski)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7564" w14:textId="77777777" w:rsidR="007D13F8" w:rsidRPr="002C09F7" w:rsidRDefault="007D13F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2FAD97B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297942D0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3A3FE4" w:rsidRPr="002C09F7">
        <w:rPr>
          <w:rFonts w:ascii="Arial" w:hAnsi="Arial" w:cs="Arial"/>
          <w:b/>
          <w:bCs/>
          <w:sz w:val="18"/>
          <w:szCs w:val="18"/>
        </w:rPr>
        <w:t>1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lastRenderedPageBreak/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28260CD" w14:textId="0D0EDB27" w:rsidR="00DE0913" w:rsidRPr="00561E29" w:rsidRDefault="00DF2AAE" w:rsidP="00561E29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8C45D1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8C45D1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2F937226" w:rsidR="00DF2AAE" w:rsidRPr="008C45D1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 xml:space="preserve">Lewo / prawo w zakresie </w:t>
            </w:r>
            <w:r w:rsidR="002F2412" w:rsidRPr="008C45D1">
              <w:rPr>
                <w:rFonts w:ascii="Arial" w:hAnsi="Arial" w:cs="Arial"/>
                <w:sz w:val="18"/>
                <w:szCs w:val="18"/>
              </w:rPr>
              <w:t>45</w:t>
            </w:r>
            <w:r w:rsidRPr="008C45D1">
              <w:rPr>
                <w:rFonts w:ascii="Arial" w:hAnsi="Arial" w:cs="Arial"/>
                <w:sz w:val="18"/>
                <w:szCs w:val="18"/>
              </w:rPr>
              <w:t xml:space="preserve"> stopni</w:t>
            </w:r>
          </w:p>
          <w:p w14:paraId="03D526F2" w14:textId="77777777" w:rsidR="00DF2AAE" w:rsidRPr="008C45D1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6E50E66" w14:textId="32E4911F" w:rsidR="001B6A39" w:rsidRPr="00561E29" w:rsidRDefault="001B6A39" w:rsidP="001B6A39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1E29">
              <w:rPr>
                <w:rFonts w:ascii="Arial" w:hAnsi="Arial" w:cs="Arial"/>
                <w:bCs/>
                <w:sz w:val="18"/>
                <w:szCs w:val="18"/>
              </w:rPr>
              <w:t>EPEAT Gold zarejestrowany w Polsce lub w dowolnym kraju UE według danych widocznych na stronie https://epeat.net/search-computers-and-displays</w:t>
            </w:r>
          </w:p>
          <w:p w14:paraId="08928A94" w14:textId="77777777" w:rsidR="00DF2AAE" w:rsidRPr="001B6A39" w:rsidRDefault="00DF2AAE" w:rsidP="001B6A39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6A39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061E8"/>
    <w:multiLevelType w:val="hybridMultilevel"/>
    <w:tmpl w:val="F1C46D38"/>
    <w:lvl w:ilvl="0" w:tplc="561617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F4761" w:themeColor="accent1" w:themeShade="BF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260D"/>
    <w:multiLevelType w:val="hybridMultilevel"/>
    <w:tmpl w:val="FF96A77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10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1"/>
  </w:num>
  <w:num w:numId="12" w16cid:durableId="1475634101">
    <w:abstractNumId w:val="3"/>
  </w:num>
  <w:num w:numId="13" w16cid:durableId="267154493">
    <w:abstractNumId w:val="6"/>
  </w:num>
  <w:num w:numId="14" w16cid:durableId="22900301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555E1"/>
    <w:rsid w:val="000672EF"/>
    <w:rsid w:val="000803B5"/>
    <w:rsid w:val="000E15DD"/>
    <w:rsid w:val="000F68A7"/>
    <w:rsid w:val="001062D2"/>
    <w:rsid w:val="00142838"/>
    <w:rsid w:val="001444C4"/>
    <w:rsid w:val="00153EC0"/>
    <w:rsid w:val="00182730"/>
    <w:rsid w:val="00190C73"/>
    <w:rsid w:val="0019272F"/>
    <w:rsid w:val="00195B24"/>
    <w:rsid w:val="001B6A39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B6A54"/>
    <w:rsid w:val="002C09F7"/>
    <w:rsid w:val="002D36E1"/>
    <w:rsid w:val="002F0274"/>
    <w:rsid w:val="002F2412"/>
    <w:rsid w:val="003057E0"/>
    <w:rsid w:val="003126D6"/>
    <w:rsid w:val="0031651A"/>
    <w:rsid w:val="00324A3F"/>
    <w:rsid w:val="00327FF7"/>
    <w:rsid w:val="003343D8"/>
    <w:rsid w:val="00335D33"/>
    <w:rsid w:val="00337B4C"/>
    <w:rsid w:val="00342E21"/>
    <w:rsid w:val="00344490"/>
    <w:rsid w:val="00345436"/>
    <w:rsid w:val="00357F01"/>
    <w:rsid w:val="00367BD6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218FD"/>
    <w:rsid w:val="00443C8C"/>
    <w:rsid w:val="00454E57"/>
    <w:rsid w:val="00455E56"/>
    <w:rsid w:val="00455F2C"/>
    <w:rsid w:val="00483E8E"/>
    <w:rsid w:val="004864A6"/>
    <w:rsid w:val="004A768E"/>
    <w:rsid w:val="004A7FF1"/>
    <w:rsid w:val="004B187B"/>
    <w:rsid w:val="004B2285"/>
    <w:rsid w:val="004B2D42"/>
    <w:rsid w:val="004E1A04"/>
    <w:rsid w:val="004E1CC2"/>
    <w:rsid w:val="004E4C1B"/>
    <w:rsid w:val="004F0DC1"/>
    <w:rsid w:val="00511E2A"/>
    <w:rsid w:val="00516A18"/>
    <w:rsid w:val="00531603"/>
    <w:rsid w:val="005419A4"/>
    <w:rsid w:val="00544C87"/>
    <w:rsid w:val="00561E29"/>
    <w:rsid w:val="005654EB"/>
    <w:rsid w:val="005657FA"/>
    <w:rsid w:val="00582E65"/>
    <w:rsid w:val="00595DB3"/>
    <w:rsid w:val="005A5A6F"/>
    <w:rsid w:val="005C76CA"/>
    <w:rsid w:val="005C7723"/>
    <w:rsid w:val="005D3399"/>
    <w:rsid w:val="005E1D17"/>
    <w:rsid w:val="006003F6"/>
    <w:rsid w:val="0063779E"/>
    <w:rsid w:val="0068346B"/>
    <w:rsid w:val="00685F20"/>
    <w:rsid w:val="006A2894"/>
    <w:rsid w:val="006B6365"/>
    <w:rsid w:val="006C68D5"/>
    <w:rsid w:val="006F2F6C"/>
    <w:rsid w:val="0070327B"/>
    <w:rsid w:val="00733C9D"/>
    <w:rsid w:val="00742912"/>
    <w:rsid w:val="00744E12"/>
    <w:rsid w:val="00763749"/>
    <w:rsid w:val="00763AF5"/>
    <w:rsid w:val="00795F74"/>
    <w:rsid w:val="007A5D7F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C28"/>
    <w:rsid w:val="00812E4D"/>
    <w:rsid w:val="00841B33"/>
    <w:rsid w:val="00850625"/>
    <w:rsid w:val="00852D05"/>
    <w:rsid w:val="00880353"/>
    <w:rsid w:val="00880C25"/>
    <w:rsid w:val="00881E8E"/>
    <w:rsid w:val="00893E90"/>
    <w:rsid w:val="00894324"/>
    <w:rsid w:val="00897798"/>
    <w:rsid w:val="008A380E"/>
    <w:rsid w:val="008C30CA"/>
    <w:rsid w:val="008C45D1"/>
    <w:rsid w:val="008C68A2"/>
    <w:rsid w:val="008D3544"/>
    <w:rsid w:val="008E4C5B"/>
    <w:rsid w:val="008E773F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B71B2"/>
    <w:rsid w:val="009C6856"/>
    <w:rsid w:val="009C71AC"/>
    <w:rsid w:val="009D0C9B"/>
    <w:rsid w:val="009F7421"/>
    <w:rsid w:val="00A14D2D"/>
    <w:rsid w:val="00A15040"/>
    <w:rsid w:val="00A240DD"/>
    <w:rsid w:val="00A46DA6"/>
    <w:rsid w:val="00A5697C"/>
    <w:rsid w:val="00AA35FB"/>
    <w:rsid w:val="00AC2619"/>
    <w:rsid w:val="00AC452D"/>
    <w:rsid w:val="00AE56ED"/>
    <w:rsid w:val="00AE6574"/>
    <w:rsid w:val="00B0273C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0667"/>
    <w:rsid w:val="00C270C8"/>
    <w:rsid w:val="00C3100C"/>
    <w:rsid w:val="00C34C5E"/>
    <w:rsid w:val="00C408F9"/>
    <w:rsid w:val="00C55EB9"/>
    <w:rsid w:val="00C57208"/>
    <w:rsid w:val="00C70412"/>
    <w:rsid w:val="00C74C60"/>
    <w:rsid w:val="00C74E3B"/>
    <w:rsid w:val="00C82168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546BF"/>
    <w:rsid w:val="00D70F13"/>
    <w:rsid w:val="00D86BCE"/>
    <w:rsid w:val="00D90521"/>
    <w:rsid w:val="00DA4761"/>
    <w:rsid w:val="00DA5DE2"/>
    <w:rsid w:val="00DA7C99"/>
    <w:rsid w:val="00DB0852"/>
    <w:rsid w:val="00DB1D5F"/>
    <w:rsid w:val="00DB20B1"/>
    <w:rsid w:val="00DB3E7A"/>
    <w:rsid w:val="00DB613F"/>
    <w:rsid w:val="00DC72DE"/>
    <w:rsid w:val="00DD2B58"/>
    <w:rsid w:val="00DE0645"/>
    <w:rsid w:val="00DE0913"/>
    <w:rsid w:val="00DF2AAE"/>
    <w:rsid w:val="00DF3A49"/>
    <w:rsid w:val="00E07C75"/>
    <w:rsid w:val="00E10445"/>
    <w:rsid w:val="00E31C2B"/>
    <w:rsid w:val="00E32F56"/>
    <w:rsid w:val="00E3786B"/>
    <w:rsid w:val="00E47E94"/>
    <w:rsid w:val="00E71ECE"/>
    <w:rsid w:val="00E72EAC"/>
    <w:rsid w:val="00E819A7"/>
    <w:rsid w:val="00E90663"/>
    <w:rsid w:val="00EA2625"/>
    <w:rsid w:val="00EB1D73"/>
    <w:rsid w:val="00ED1C47"/>
    <w:rsid w:val="00ED4412"/>
    <w:rsid w:val="00EE1BFC"/>
    <w:rsid w:val="00EE3936"/>
    <w:rsid w:val="00EE5895"/>
    <w:rsid w:val="00EF3A46"/>
    <w:rsid w:val="00F000A1"/>
    <w:rsid w:val="00F109C2"/>
    <w:rsid w:val="00F358F4"/>
    <w:rsid w:val="00F37B81"/>
    <w:rsid w:val="00F41A95"/>
    <w:rsid w:val="00F50BDC"/>
    <w:rsid w:val="00F548F3"/>
    <w:rsid w:val="00F6190C"/>
    <w:rsid w:val="00F9322A"/>
    <w:rsid w:val="00F9443A"/>
    <w:rsid w:val="00FC146E"/>
    <w:rsid w:val="00FE502F"/>
    <w:rsid w:val="00FF506C"/>
    <w:rsid w:val="00FF59FE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3C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8C68A2"/>
    <w:pPr>
      <w:spacing w:after="0" w:line="240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25"/>
    <w:pPr>
      <w:suppressAutoHyphens/>
      <w:autoSpaceDN w:val="0"/>
      <w:spacing w:after="160"/>
    </w:pPr>
    <w:rPr>
      <w:rFonts w:ascii="Aptos" w:eastAsia="Aptos" w:hAnsi="Aptos" w:cs="Times New Roman"/>
      <w:b/>
      <w:bCs/>
      <w:kern w:val="3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25"/>
    <w:rPr>
      <w:rFonts w:ascii="Aptos" w:eastAsia="Aptos" w:hAnsi="Aptos" w:cs="Times New Roman"/>
      <w:b/>
      <w:bCs/>
      <w:noProof/>
      <w:kern w:val="3"/>
      <w:sz w:val="20"/>
      <w:szCs w:val="20"/>
      <w:lang w:val="de-D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65BF5-9249-4322-BCFC-EF76FA6F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E18F0-77A5-4375-BFA6-F9756FA7A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6490A4-C561-454B-A9A4-BEAA0A2837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3421</Words>
  <Characters>20528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3</cp:revision>
  <dcterms:created xsi:type="dcterms:W3CDTF">2026-04-29T07:06:00Z</dcterms:created>
  <dcterms:modified xsi:type="dcterms:W3CDTF">2026-04-29T10:51:00Z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0x010100492944D3B49F6344A5284E23F86645DB</vt:lpwstr>
  </property>
  <property fmtid="{D5CDD505-2E9C-101B-9397-08002B2CF9AE}" pid="3" name="MediaServiceImageTags">
    <vt:lpwstr/>
  </property>
</Properties>
</file>