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7BD4F5" w14:textId="3AA1F492" w:rsidR="007C0C62" w:rsidRDefault="007C0C62" w:rsidP="007C0C62">
      <w:pPr>
        <w:spacing w:after="0" w:line="240" w:lineRule="auto"/>
        <w:rPr>
          <w:rFonts w:ascii="Arial" w:hAnsi="Arial" w:cs="Arial"/>
          <w:i/>
          <w:iCs/>
          <w:sz w:val="18"/>
          <w:szCs w:val="18"/>
          <w:shd w:val="clear" w:color="auto" w:fill="FFFFFF"/>
        </w:rPr>
      </w:pPr>
      <w:r w:rsidRPr="008160E2">
        <w:rPr>
          <w:rFonts w:ascii="Arial" w:hAnsi="Arial" w:cs="Arial"/>
          <w:i/>
          <w:iCs/>
          <w:sz w:val="18"/>
          <w:szCs w:val="18"/>
          <w:shd w:val="clear" w:color="auto" w:fill="FFFFFF"/>
        </w:rPr>
        <w:t xml:space="preserve">Załącznik nr 2b – </w:t>
      </w:r>
      <w:r w:rsidR="00561629" w:rsidRPr="008160E2">
        <w:rPr>
          <w:rFonts w:ascii="Arial" w:hAnsi="Arial" w:cs="Arial"/>
          <w:i/>
          <w:iCs/>
          <w:sz w:val="18"/>
          <w:szCs w:val="18"/>
          <w:shd w:val="clear" w:color="auto" w:fill="FFFFFF"/>
        </w:rPr>
        <w:t>punktacja oceny</w:t>
      </w:r>
    </w:p>
    <w:p w14:paraId="3CB4E663" w14:textId="77777777" w:rsidR="00E339BF" w:rsidRPr="008160E2" w:rsidRDefault="00E339BF" w:rsidP="007C0C62">
      <w:pPr>
        <w:spacing w:after="0" w:line="240" w:lineRule="auto"/>
        <w:rPr>
          <w:rFonts w:ascii="Arial" w:hAnsi="Arial" w:cs="Arial"/>
          <w:i/>
          <w:iCs/>
          <w:sz w:val="18"/>
          <w:szCs w:val="18"/>
          <w:shd w:val="clear" w:color="auto" w:fill="FFFFFF"/>
        </w:rPr>
      </w:pPr>
    </w:p>
    <w:p w14:paraId="71C047CA" w14:textId="7874A9DE" w:rsidR="00C36AC1" w:rsidRDefault="007C0C62" w:rsidP="007C0C62">
      <w:pPr>
        <w:spacing w:after="0" w:line="240" w:lineRule="auto"/>
        <w:rPr>
          <w:rFonts w:ascii="Arial" w:hAnsi="Arial" w:cs="Arial"/>
          <w:i/>
          <w:iCs/>
          <w:sz w:val="18"/>
          <w:szCs w:val="18"/>
          <w:shd w:val="clear" w:color="auto" w:fill="FFFFFF"/>
        </w:rPr>
      </w:pPr>
      <w:r w:rsidRPr="008160E2">
        <w:rPr>
          <w:rFonts w:ascii="Arial" w:hAnsi="Arial" w:cs="Arial"/>
          <w:i/>
          <w:iCs/>
          <w:sz w:val="18"/>
          <w:szCs w:val="18"/>
          <w:shd w:val="clear" w:color="auto" w:fill="FFFFFF"/>
        </w:rPr>
        <w:t>dotyczy postępowania ZP/2501/</w:t>
      </w:r>
      <w:r w:rsidR="00511120">
        <w:rPr>
          <w:rFonts w:ascii="Arial" w:hAnsi="Arial" w:cs="Arial"/>
          <w:i/>
          <w:iCs/>
          <w:sz w:val="18"/>
          <w:szCs w:val="18"/>
          <w:shd w:val="clear" w:color="auto" w:fill="FFFFFF"/>
        </w:rPr>
        <w:t>19.2</w:t>
      </w:r>
      <w:r w:rsidRPr="008160E2">
        <w:rPr>
          <w:rFonts w:ascii="Arial" w:hAnsi="Arial" w:cs="Arial"/>
          <w:i/>
          <w:iCs/>
          <w:sz w:val="18"/>
          <w:szCs w:val="18"/>
          <w:shd w:val="clear" w:color="auto" w:fill="FFFFFF"/>
        </w:rPr>
        <w:t>/2</w:t>
      </w:r>
      <w:r w:rsidR="004018BE">
        <w:rPr>
          <w:rFonts w:ascii="Arial" w:hAnsi="Arial" w:cs="Arial"/>
          <w:i/>
          <w:iCs/>
          <w:sz w:val="18"/>
          <w:szCs w:val="18"/>
          <w:shd w:val="clear" w:color="auto" w:fill="FFFFFF"/>
        </w:rPr>
        <w:t>6</w:t>
      </w:r>
      <w:r w:rsidRPr="008160E2">
        <w:rPr>
          <w:rFonts w:ascii="Arial" w:hAnsi="Arial" w:cs="Arial"/>
          <w:i/>
          <w:iCs/>
          <w:sz w:val="18"/>
          <w:szCs w:val="18"/>
          <w:shd w:val="clear" w:color="auto" w:fill="FFFFFF"/>
        </w:rPr>
        <w:t xml:space="preserve"> –</w:t>
      </w:r>
      <w:r w:rsidR="009A2BFB">
        <w:rPr>
          <w:rFonts w:ascii="Arial" w:hAnsi="Arial" w:cs="Arial"/>
          <w:i/>
          <w:iCs/>
          <w:sz w:val="18"/>
          <w:szCs w:val="18"/>
          <w:shd w:val="clear" w:color="auto" w:fill="FFFFFF"/>
        </w:rPr>
        <w:t xml:space="preserve"> Dostawa przyrządów do przetaczania płynów infuzyjnych</w:t>
      </w:r>
    </w:p>
    <w:p w14:paraId="238ECC16" w14:textId="77777777" w:rsidR="00511120" w:rsidRDefault="00511120" w:rsidP="007C0C62">
      <w:pPr>
        <w:spacing w:after="0" w:line="240" w:lineRule="auto"/>
        <w:rPr>
          <w:rFonts w:ascii="Arial" w:hAnsi="Arial" w:cs="Arial"/>
          <w:i/>
          <w:iCs/>
          <w:sz w:val="18"/>
          <w:szCs w:val="18"/>
          <w:shd w:val="clear" w:color="auto" w:fill="FFFFFF"/>
        </w:rPr>
      </w:pPr>
    </w:p>
    <w:p w14:paraId="5E3D1CD6" w14:textId="77777777" w:rsidR="00511120" w:rsidRPr="008160E2" w:rsidRDefault="00511120" w:rsidP="007C0C62">
      <w:pPr>
        <w:spacing w:after="0" w:line="240" w:lineRule="auto"/>
        <w:rPr>
          <w:rFonts w:ascii="Arial" w:hAnsi="Arial" w:cs="Arial"/>
          <w:i/>
          <w:iCs/>
          <w:sz w:val="18"/>
          <w:szCs w:val="18"/>
          <w:shd w:val="clear" w:color="auto" w:fill="FFFFFF"/>
        </w:rPr>
      </w:pPr>
    </w:p>
    <w:p w14:paraId="36004D84" w14:textId="77777777" w:rsidR="007C0C62" w:rsidRPr="00A7353F" w:rsidRDefault="007C0C62" w:rsidP="007C0C62">
      <w:pPr>
        <w:spacing w:after="0" w:line="240" w:lineRule="auto"/>
        <w:rPr>
          <w:rFonts w:ascii="Arial" w:hAnsi="Arial" w:cs="Arial"/>
          <w:b/>
          <w:bCs/>
          <w:sz w:val="18"/>
          <w:szCs w:val="18"/>
          <w:shd w:val="clear" w:color="auto" w:fill="FFFFFF"/>
        </w:rPr>
      </w:pPr>
    </w:p>
    <w:tbl>
      <w:tblPr>
        <w:tblW w:w="7371" w:type="dxa"/>
        <w:tblInd w:w="5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2551"/>
      </w:tblGrid>
      <w:tr w:rsidR="00C36AC1" w:rsidRPr="00C36AC1" w14:paraId="698D9FB4" w14:textId="77777777" w:rsidTr="00C36AC1">
        <w:tc>
          <w:tcPr>
            <w:tcW w:w="48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hideMark/>
          </w:tcPr>
          <w:p w14:paraId="24A26FE2" w14:textId="77777777" w:rsidR="00C36AC1" w:rsidRPr="00C36AC1" w:rsidRDefault="00C36AC1" w:rsidP="00EC2B19">
            <w:pPr>
              <w:shd w:val="clear" w:color="auto" w:fill="FFFFFF"/>
              <w:rPr>
                <w:rFonts w:ascii="Arial" w:hAnsi="Arial" w:cs="Arial"/>
                <w:bCs/>
                <w:i/>
                <w:iCs/>
                <w:noProof/>
                <w:sz w:val="18"/>
                <w:szCs w:val="18"/>
              </w:rPr>
            </w:pPr>
            <w:bookmarkStart w:id="0" w:name="_Hlk81983639"/>
            <w:r w:rsidRPr="00C36AC1">
              <w:rPr>
                <w:rFonts w:ascii="Arial" w:hAnsi="Arial" w:cs="Arial"/>
                <w:bCs/>
                <w:i/>
                <w:iCs/>
                <w:noProof/>
                <w:sz w:val="18"/>
                <w:szCs w:val="18"/>
              </w:rPr>
              <w:t>Kryteria oceny jakości</w:t>
            </w:r>
          </w:p>
        </w:tc>
        <w:tc>
          <w:tcPr>
            <w:tcW w:w="2551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14:paraId="06AB028D" w14:textId="0A9621A5" w:rsidR="00C36AC1" w:rsidRPr="00C36AC1" w:rsidRDefault="00C36AC1" w:rsidP="00EC2B19">
            <w:pPr>
              <w:shd w:val="clear" w:color="auto" w:fill="FFFFFF"/>
              <w:jc w:val="center"/>
              <w:rPr>
                <w:rFonts w:ascii="Arial" w:hAnsi="Arial" w:cs="Arial"/>
                <w:bCs/>
                <w:i/>
                <w:iCs/>
                <w:noProof/>
                <w:sz w:val="18"/>
                <w:szCs w:val="18"/>
              </w:rPr>
            </w:pPr>
            <w:r w:rsidRPr="00C36AC1">
              <w:rPr>
                <w:rFonts w:ascii="Arial" w:hAnsi="Arial" w:cs="Arial"/>
                <w:bCs/>
                <w:noProof/>
                <w:sz w:val="18"/>
                <w:szCs w:val="18"/>
              </w:rPr>
              <w:t>zakres punktów</w:t>
            </w:r>
          </w:p>
        </w:tc>
      </w:tr>
      <w:tr w:rsidR="00C36AC1" w:rsidRPr="00C36AC1" w14:paraId="6BA0FB1F" w14:textId="77777777" w:rsidTr="000E4345">
        <w:trPr>
          <w:trHeight w:val="234"/>
        </w:trPr>
        <w:tc>
          <w:tcPr>
            <w:tcW w:w="4820" w:type="dxa"/>
            <w:tcBorders>
              <w:top w:val="single" w:sz="18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14:paraId="7934BD57" w14:textId="23F8C1D6" w:rsidR="00C36AC1" w:rsidRPr="00A7353F" w:rsidRDefault="000E4345" w:rsidP="00A7353F">
            <w:pPr>
              <w:pStyle w:val="Akapitzlist"/>
              <w:numPr>
                <w:ilvl w:val="0"/>
                <w:numId w:val="10"/>
              </w:numPr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>S</w:t>
            </w:r>
            <w:r w:rsidRPr="000E4345">
              <w:rPr>
                <w:rFonts w:ascii="Arial" w:hAnsi="Arial" w:cs="Arial"/>
                <w:noProof/>
                <w:sz w:val="18"/>
                <w:szCs w:val="18"/>
              </w:rPr>
              <w:t>kuteczność zamknięcia przepływu płynu przez zacisk rolkowy, brak przecieku oraz brak zapowietrzania układu podczas zamykania i ponownego otwierania przepływu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0A398" w14:textId="4427841C" w:rsidR="00C36AC1" w:rsidRPr="00C36AC1" w:rsidRDefault="00C36AC1" w:rsidP="000E4345">
            <w:pPr>
              <w:shd w:val="clear" w:color="auto" w:fill="FFFFFF"/>
              <w:jc w:val="center"/>
              <w:rPr>
                <w:rFonts w:ascii="Arial" w:hAnsi="Arial" w:cs="Arial"/>
                <w:bCs/>
                <w:noProof/>
                <w:sz w:val="18"/>
                <w:szCs w:val="18"/>
              </w:rPr>
            </w:pPr>
            <w:r w:rsidRPr="00C36AC1">
              <w:rPr>
                <w:rFonts w:ascii="Arial" w:hAnsi="Arial" w:cs="Arial"/>
                <w:bCs/>
                <w:noProof/>
                <w:sz w:val="18"/>
                <w:szCs w:val="18"/>
              </w:rPr>
              <w:t>0-</w:t>
            </w:r>
            <w:r w:rsidR="000E4345">
              <w:rPr>
                <w:rFonts w:ascii="Arial" w:hAnsi="Arial" w:cs="Arial"/>
                <w:bCs/>
                <w:noProof/>
                <w:sz w:val="18"/>
                <w:szCs w:val="18"/>
              </w:rPr>
              <w:t>5</w:t>
            </w:r>
            <w:r w:rsidRPr="00C36AC1">
              <w:rPr>
                <w:rFonts w:ascii="Arial" w:hAnsi="Arial" w:cs="Arial"/>
                <w:bCs/>
                <w:noProof/>
                <w:sz w:val="18"/>
                <w:szCs w:val="18"/>
              </w:rPr>
              <w:t xml:space="preserve"> pkt</w:t>
            </w:r>
          </w:p>
        </w:tc>
      </w:tr>
      <w:tr w:rsidR="000E4345" w:rsidRPr="00C36AC1" w14:paraId="072CF85B" w14:textId="77777777" w:rsidTr="000E4345">
        <w:trPr>
          <w:trHeight w:val="234"/>
        </w:trPr>
        <w:tc>
          <w:tcPr>
            <w:tcW w:w="4820" w:type="dxa"/>
            <w:tcBorders>
              <w:top w:val="single" w:sz="18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3C6D567F" w14:textId="6A469350" w:rsidR="000E4345" w:rsidRPr="000E4345" w:rsidRDefault="000E4345" w:rsidP="000E4345">
            <w:pPr>
              <w:pStyle w:val="Akapitzlist"/>
              <w:numPr>
                <w:ilvl w:val="0"/>
                <w:numId w:val="10"/>
              </w:numPr>
              <w:rPr>
                <w:rFonts w:ascii="Arial" w:hAnsi="Arial" w:cs="Arial"/>
                <w:noProof/>
                <w:sz w:val="18"/>
                <w:szCs w:val="18"/>
              </w:rPr>
            </w:pPr>
            <w:r w:rsidRPr="000E4345">
              <w:rPr>
                <w:rFonts w:ascii="Arial" w:hAnsi="Arial" w:cs="Arial"/>
                <w:noProof/>
                <w:sz w:val="18"/>
                <w:szCs w:val="18"/>
              </w:rPr>
              <w:t>Ergonomia zacisku rolkowego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 xml:space="preserve">- </w:t>
            </w:r>
            <w:r w:rsidRPr="000E4345">
              <w:rPr>
                <w:rFonts w:ascii="Arial" w:hAnsi="Arial" w:cs="Arial"/>
                <w:noProof/>
                <w:sz w:val="18"/>
                <w:szCs w:val="18"/>
              </w:rPr>
              <w:t>łatwość i płynność obsługi zacisku rolkowego, precyzja regulacji przepływu, stabilność ustawienia oraz wygoda użytkowania podczas wykonywania czynności zgodnych z przeznaczeniem wyrobu.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C2B11" w14:textId="0883FB8D" w:rsidR="000E4345" w:rsidRPr="000E4345" w:rsidRDefault="000E4345" w:rsidP="000E4345">
            <w:pPr>
              <w:pStyle w:val="Akapitzlist"/>
              <w:shd w:val="clear" w:color="auto" w:fill="FFFFFF"/>
              <w:ind w:left="32"/>
              <w:jc w:val="center"/>
              <w:rPr>
                <w:rFonts w:ascii="Arial" w:hAnsi="Arial" w:cs="Arial"/>
                <w:bCs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0-5 pkt.</w:t>
            </w:r>
          </w:p>
        </w:tc>
      </w:tr>
      <w:tr w:rsidR="00C36AC1" w:rsidRPr="00C36AC1" w14:paraId="368F2EBA" w14:textId="77777777" w:rsidTr="000E4345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EB86E" w14:textId="6268882C" w:rsidR="00C36AC1" w:rsidRPr="00A7353F" w:rsidRDefault="00DE58FC" w:rsidP="00A7353F">
            <w:pPr>
              <w:pStyle w:val="Akapitzlist"/>
              <w:numPr>
                <w:ilvl w:val="0"/>
                <w:numId w:val="10"/>
              </w:numPr>
              <w:rPr>
                <w:rFonts w:ascii="Arial" w:hAnsi="Arial" w:cs="Arial"/>
                <w:noProof/>
                <w:sz w:val="18"/>
                <w:szCs w:val="18"/>
              </w:rPr>
            </w:pPr>
            <w:r w:rsidRPr="00DE58FC">
              <w:rPr>
                <w:rFonts w:ascii="Arial" w:hAnsi="Arial" w:cs="Arial"/>
                <w:noProof/>
                <w:sz w:val="18"/>
                <w:szCs w:val="18"/>
              </w:rPr>
              <w:t>Komora kroplowa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 xml:space="preserve">- </w:t>
            </w:r>
            <w:r w:rsidRPr="00DE58FC">
              <w:rPr>
                <w:rFonts w:ascii="Arial" w:hAnsi="Arial" w:cs="Arial"/>
                <w:noProof/>
                <w:sz w:val="18"/>
                <w:szCs w:val="18"/>
              </w:rPr>
              <w:t>Miękkość, sprężystość oraz łatwość napełnienia do wymaganego poziomu podczas testu.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6148C" w14:textId="684B6C9E" w:rsidR="00C36AC1" w:rsidRPr="00C36AC1" w:rsidRDefault="00C36AC1" w:rsidP="000E4345">
            <w:pPr>
              <w:shd w:val="clear" w:color="auto" w:fill="FFFFFF"/>
              <w:jc w:val="center"/>
              <w:rPr>
                <w:rFonts w:ascii="Arial" w:hAnsi="Arial" w:cs="Arial"/>
                <w:bCs/>
                <w:noProof/>
                <w:sz w:val="18"/>
                <w:szCs w:val="18"/>
              </w:rPr>
            </w:pPr>
            <w:r w:rsidRPr="00C36AC1">
              <w:rPr>
                <w:rFonts w:ascii="Arial" w:hAnsi="Arial" w:cs="Arial"/>
                <w:bCs/>
                <w:noProof/>
                <w:sz w:val="18"/>
                <w:szCs w:val="18"/>
              </w:rPr>
              <w:t>0-</w:t>
            </w:r>
            <w:r w:rsidR="000E4345">
              <w:rPr>
                <w:rFonts w:ascii="Arial" w:hAnsi="Arial" w:cs="Arial"/>
                <w:bCs/>
                <w:noProof/>
                <w:sz w:val="18"/>
                <w:szCs w:val="18"/>
              </w:rPr>
              <w:t>5</w:t>
            </w:r>
            <w:r w:rsidRPr="00C36AC1">
              <w:rPr>
                <w:rFonts w:ascii="Arial" w:hAnsi="Arial" w:cs="Arial"/>
                <w:bCs/>
                <w:noProof/>
                <w:sz w:val="18"/>
                <w:szCs w:val="18"/>
              </w:rPr>
              <w:t xml:space="preserve"> pkt</w:t>
            </w:r>
          </w:p>
        </w:tc>
      </w:tr>
      <w:tr w:rsidR="00C36AC1" w:rsidRPr="00C36AC1" w14:paraId="12AED453" w14:textId="77777777" w:rsidTr="000E4345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5B445" w14:textId="47491161" w:rsidR="00C36AC1" w:rsidRPr="00A7353F" w:rsidRDefault="00DE58FC" w:rsidP="00A7353F">
            <w:pPr>
              <w:pStyle w:val="Akapitzlist"/>
              <w:numPr>
                <w:ilvl w:val="0"/>
                <w:numId w:val="10"/>
              </w:numPr>
              <w:rPr>
                <w:rFonts w:ascii="Arial" w:hAnsi="Arial" w:cs="Arial"/>
                <w:noProof/>
                <w:sz w:val="18"/>
                <w:szCs w:val="18"/>
              </w:rPr>
            </w:pPr>
            <w:r w:rsidRPr="00DE58FC">
              <w:rPr>
                <w:rFonts w:ascii="Arial" w:hAnsi="Arial" w:cs="Arial"/>
                <w:noProof/>
                <w:sz w:val="18"/>
                <w:szCs w:val="18"/>
              </w:rPr>
              <w:t>Odpowietrzanie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 xml:space="preserve">- </w:t>
            </w:r>
            <w:r w:rsidRPr="00DE58FC">
              <w:rPr>
                <w:rFonts w:ascii="Arial" w:hAnsi="Arial" w:cs="Arial"/>
                <w:noProof/>
                <w:sz w:val="18"/>
                <w:szCs w:val="18"/>
              </w:rPr>
              <w:t>Łatwość odpowietrzenia zestawu i uzyskania ciągłego przepływu bez konieczności wykonywania dodatkowych czynności.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1AAB6" w14:textId="0A4ACBB3" w:rsidR="00C36AC1" w:rsidRPr="00C36AC1" w:rsidRDefault="00C36AC1" w:rsidP="000E4345">
            <w:pPr>
              <w:shd w:val="clear" w:color="auto" w:fill="FFFFFF"/>
              <w:jc w:val="center"/>
              <w:rPr>
                <w:rFonts w:ascii="Arial" w:hAnsi="Arial" w:cs="Arial"/>
                <w:bCs/>
                <w:noProof/>
                <w:sz w:val="18"/>
                <w:szCs w:val="18"/>
              </w:rPr>
            </w:pPr>
            <w:r w:rsidRPr="00C36AC1">
              <w:rPr>
                <w:rFonts w:ascii="Arial" w:hAnsi="Arial" w:cs="Arial"/>
                <w:bCs/>
                <w:noProof/>
                <w:sz w:val="18"/>
                <w:szCs w:val="18"/>
              </w:rPr>
              <w:t>0-</w:t>
            </w:r>
            <w:r w:rsidR="000E4345">
              <w:rPr>
                <w:rFonts w:ascii="Arial" w:hAnsi="Arial" w:cs="Arial"/>
                <w:bCs/>
                <w:noProof/>
                <w:sz w:val="18"/>
                <w:szCs w:val="18"/>
              </w:rPr>
              <w:t>5</w:t>
            </w:r>
            <w:r w:rsidR="00E0280C">
              <w:rPr>
                <w:rFonts w:ascii="Arial" w:hAnsi="Arial" w:cs="Arial"/>
                <w:bCs/>
                <w:noProof/>
                <w:sz w:val="18"/>
                <w:szCs w:val="18"/>
              </w:rPr>
              <w:t xml:space="preserve"> </w:t>
            </w:r>
            <w:r w:rsidRPr="00C36AC1">
              <w:rPr>
                <w:rFonts w:ascii="Arial" w:hAnsi="Arial" w:cs="Arial"/>
                <w:bCs/>
                <w:noProof/>
                <w:sz w:val="18"/>
                <w:szCs w:val="18"/>
              </w:rPr>
              <w:t>pkt</w:t>
            </w:r>
          </w:p>
        </w:tc>
      </w:tr>
      <w:tr w:rsidR="00C36AC1" w:rsidRPr="00C36AC1" w14:paraId="38CB3D90" w14:textId="77777777" w:rsidTr="000E4345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18F24" w14:textId="426B5B6E" w:rsidR="00C36AC1" w:rsidRPr="00A7353F" w:rsidRDefault="00DE58FC" w:rsidP="00A7353F">
            <w:pPr>
              <w:pStyle w:val="Akapitzlist"/>
              <w:numPr>
                <w:ilvl w:val="0"/>
                <w:numId w:val="10"/>
              </w:numPr>
              <w:rPr>
                <w:rFonts w:ascii="Arial" w:hAnsi="Arial" w:cs="Arial"/>
                <w:noProof/>
                <w:sz w:val="18"/>
                <w:szCs w:val="18"/>
              </w:rPr>
            </w:pPr>
            <w:r w:rsidRPr="00DE58FC">
              <w:rPr>
                <w:rFonts w:ascii="Arial" w:hAnsi="Arial" w:cs="Arial"/>
                <w:noProof/>
                <w:sz w:val="18"/>
                <w:szCs w:val="18"/>
              </w:rPr>
              <w:t>Jakość wykonania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 xml:space="preserve">- </w:t>
            </w:r>
            <w:r w:rsidRPr="00DE58FC">
              <w:rPr>
                <w:rFonts w:ascii="Arial" w:hAnsi="Arial" w:cs="Arial"/>
                <w:noProof/>
                <w:sz w:val="18"/>
                <w:szCs w:val="18"/>
              </w:rPr>
              <w:t>Staranność wykonania, brak ostrych krawędzi, jakość połączeń elementów, czytelność oznaczeń.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D087C" w14:textId="6D95EDB6" w:rsidR="00C36AC1" w:rsidRPr="00C36AC1" w:rsidRDefault="00C36AC1" w:rsidP="000E4345">
            <w:pPr>
              <w:shd w:val="clear" w:color="auto" w:fill="FFFFFF"/>
              <w:jc w:val="center"/>
              <w:rPr>
                <w:rFonts w:ascii="Arial" w:hAnsi="Arial" w:cs="Arial"/>
                <w:bCs/>
                <w:noProof/>
                <w:sz w:val="18"/>
                <w:szCs w:val="18"/>
              </w:rPr>
            </w:pPr>
            <w:r w:rsidRPr="00C36AC1">
              <w:rPr>
                <w:rFonts w:ascii="Arial" w:hAnsi="Arial" w:cs="Arial"/>
                <w:bCs/>
                <w:noProof/>
                <w:sz w:val="18"/>
                <w:szCs w:val="18"/>
              </w:rPr>
              <w:t>0-</w:t>
            </w:r>
            <w:r w:rsidR="000E4345">
              <w:rPr>
                <w:rFonts w:ascii="Arial" w:hAnsi="Arial" w:cs="Arial"/>
                <w:bCs/>
                <w:noProof/>
                <w:sz w:val="18"/>
                <w:szCs w:val="18"/>
              </w:rPr>
              <w:t>5</w:t>
            </w:r>
            <w:r w:rsidRPr="00C36AC1">
              <w:rPr>
                <w:rFonts w:ascii="Arial" w:hAnsi="Arial" w:cs="Arial"/>
                <w:bCs/>
                <w:noProof/>
                <w:sz w:val="18"/>
                <w:szCs w:val="18"/>
              </w:rPr>
              <w:t xml:space="preserve"> pkt</w:t>
            </w:r>
          </w:p>
        </w:tc>
      </w:tr>
      <w:tr w:rsidR="000E4345" w:rsidRPr="00C36AC1" w14:paraId="5D9FFEDF" w14:textId="77777777" w:rsidTr="000E4345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BF109" w14:textId="4032C250" w:rsidR="000E4345" w:rsidRPr="00DE58FC" w:rsidRDefault="000E4345" w:rsidP="00A7353F">
            <w:pPr>
              <w:pStyle w:val="Akapitzlist"/>
              <w:numPr>
                <w:ilvl w:val="0"/>
                <w:numId w:val="10"/>
              </w:numPr>
              <w:rPr>
                <w:rFonts w:ascii="Arial" w:hAnsi="Arial" w:cs="Arial"/>
                <w:noProof/>
                <w:sz w:val="18"/>
                <w:szCs w:val="18"/>
              </w:rPr>
            </w:pPr>
            <w:r w:rsidRPr="000E4345">
              <w:rPr>
                <w:rFonts w:ascii="Arial" w:hAnsi="Arial" w:cs="Arial"/>
                <w:noProof/>
                <w:sz w:val="18"/>
                <w:szCs w:val="18"/>
              </w:rPr>
              <w:t>Funkcjonalność elementów dodatkowych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 xml:space="preserve">- </w:t>
            </w:r>
            <w:r w:rsidRPr="000E4345">
              <w:rPr>
                <w:rFonts w:ascii="Arial" w:hAnsi="Arial" w:cs="Arial"/>
                <w:noProof/>
                <w:sz w:val="18"/>
                <w:szCs w:val="18"/>
              </w:rPr>
              <w:t>Wygoda użycia uchwytu na dren oraz zabezpieczenia igły biorczej po użyciu.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AB073" w14:textId="7FF70828" w:rsidR="000E4345" w:rsidRPr="00C36AC1" w:rsidRDefault="000E4345" w:rsidP="000E4345">
            <w:pPr>
              <w:shd w:val="clear" w:color="auto" w:fill="FFFFFF"/>
              <w:jc w:val="center"/>
              <w:rPr>
                <w:rFonts w:ascii="Arial" w:hAnsi="Arial" w:cs="Arial"/>
                <w:bCs/>
                <w:noProof/>
                <w:sz w:val="18"/>
                <w:szCs w:val="18"/>
              </w:rPr>
            </w:pPr>
            <w:r w:rsidRPr="00C36AC1">
              <w:rPr>
                <w:rFonts w:ascii="Arial" w:hAnsi="Arial" w:cs="Arial"/>
                <w:bCs/>
                <w:noProof/>
                <w:sz w:val="18"/>
                <w:szCs w:val="18"/>
              </w:rPr>
              <w:t>0-</w:t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5</w:t>
            </w:r>
            <w:r w:rsidRPr="00C36AC1">
              <w:rPr>
                <w:rFonts w:ascii="Arial" w:hAnsi="Arial" w:cs="Arial"/>
                <w:bCs/>
                <w:noProof/>
                <w:sz w:val="18"/>
                <w:szCs w:val="18"/>
              </w:rPr>
              <w:t xml:space="preserve"> pkt</w:t>
            </w:r>
          </w:p>
        </w:tc>
      </w:tr>
      <w:bookmarkEnd w:id="0"/>
    </w:tbl>
    <w:p w14:paraId="0B7F9F32" w14:textId="1DD8EB6F" w:rsidR="00015B1A" w:rsidRDefault="00015B1A" w:rsidP="00015B1A">
      <w:pPr>
        <w:pStyle w:val="Akapitzlist"/>
        <w:rPr>
          <w:rFonts w:ascii="Arial" w:hAnsi="Arial" w:cs="Arial"/>
          <w:sz w:val="18"/>
          <w:szCs w:val="18"/>
          <w:shd w:val="clear" w:color="auto" w:fill="FFFFFF"/>
        </w:rPr>
      </w:pPr>
    </w:p>
    <w:p w14:paraId="006179C0" w14:textId="77777777" w:rsidR="000805F9" w:rsidRPr="00C36AC1" w:rsidRDefault="000805F9" w:rsidP="00015B1A">
      <w:pPr>
        <w:pStyle w:val="Akapitzlist"/>
        <w:rPr>
          <w:rFonts w:ascii="Arial" w:hAnsi="Arial" w:cs="Arial"/>
          <w:sz w:val="18"/>
          <w:szCs w:val="18"/>
          <w:shd w:val="clear" w:color="auto" w:fill="FFFFFF"/>
        </w:rPr>
      </w:pPr>
    </w:p>
    <w:p w14:paraId="29DBC3B2" w14:textId="79BFA4B0" w:rsidR="00C36AC1" w:rsidRPr="00C36AC1" w:rsidRDefault="00C36AC1" w:rsidP="00C36AC1">
      <w:pPr>
        <w:rPr>
          <w:rFonts w:ascii="Arial" w:hAnsi="Arial" w:cs="Arial"/>
          <w:b/>
          <w:bCs/>
          <w:sz w:val="18"/>
          <w:szCs w:val="18"/>
          <w:shd w:val="clear" w:color="auto" w:fill="FFFFFF"/>
        </w:rPr>
      </w:pPr>
    </w:p>
    <w:sectPr w:rsidR="00C36AC1" w:rsidRPr="00C36AC1" w:rsidSect="00C36AC1">
      <w:pgSz w:w="11906" w:h="16838"/>
      <w:pgMar w:top="1417" w:right="1841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C04B6"/>
    <w:multiLevelType w:val="hybridMultilevel"/>
    <w:tmpl w:val="CB8A1C6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A273343"/>
    <w:multiLevelType w:val="hybridMultilevel"/>
    <w:tmpl w:val="2F16BCD4"/>
    <w:lvl w:ilvl="0" w:tplc="235834F6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="Open Sans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E862941"/>
    <w:multiLevelType w:val="multilevel"/>
    <w:tmpl w:val="A1CA5F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1D815C3"/>
    <w:multiLevelType w:val="multilevel"/>
    <w:tmpl w:val="2F148E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2055C0D"/>
    <w:multiLevelType w:val="hybridMultilevel"/>
    <w:tmpl w:val="C3E80D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661365"/>
    <w:multiLevelType w:val="hybridMultilevel"/>
    <w:tmpl w:val="E2F457A4"/>
    <w:lvl w:ilvl="0" w:tplc="3E9A104E"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082A79"/>
    <w:multiLevelType w:val="multilevel"/>
    <w:tmpl w:val="5AC49B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D0A7A9E"/>
    <w:multiLevelType w:val="hybridMultilevel"/>
    <w:tmpl w:val="8C4A9A1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sz w:val="20"/>
      </w:rPr>
    </w:lvl>
    <w:lvl w:ilvl="1" w:tplc="6A1C2B8C">
      <w:start w:val="1"/>
      <w:numFmt w:val="decimal"/>
      <w:lvlText w:val="b.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CAE029C"/>
    <w:multiLevelType w:val="multilevel"/>
    <w:tmpl w:val="87B48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591F31B7"/>
    <w:multiLevelType w:val="hybridMultilevel"/>
    <w:tmpl w:val="E5E65434"/>
    <w:name w:val="WW8Num503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88E2206"/>
    <w:multiLevelType w:val="hybridMultilevel"/>
    <w:tmpl w:val="46AA71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F36428"/>
    <w:multiLevelType w:val="multilevel"/>
    <w:tmpl w:val="60BC8E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76270025">
    <w:abstractNumId w:val="2"/>
  </w:num>
  <w:num w:numId="2" w16cid:durableId="1436831093">
    <w:abstractNumId w:val="6"/>
  </w:num>
  <w:num w:numId="3" w16cid:durableId="571358615">
    <w:abstractNumId w:val="11"/>
  </w:num>
  <w:num w:numId="4" w16cid:durableId="600842106">
    <w:abstractNumId w:val="3"/>
  </w:num>
  <w:num w:numId="5" w16cid:durableId="1330138201">
    <w:abstractNumId w:val="8"/>
  </w:num>
  <w:num w:numId="6" w16cid:durableId="1039933999">
    <w:abstractNumId w:val="4"/>
  </w:num>
  <w:num w:numId="7" w16cid:durableId="650796565">
    <w:abstractNumId w:val="0"/>
  </w:num>
  <w:num w:numId="8" w16cid:durableId="1272399902">
    <w:abstractNumId w:val="1"/>
  </w:num>
  <w:num w:numId="9" w16cid:durableId="1914271779">
    <w:abstractNumId w:val="10"/>
  </w:num>
  <w:num w:numId="10" w16cid:durableId="1640643669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791241775">
    <w:abstractNumId w:val="9"/>
  </w:num>
  <w:num w:numId="12" w16cid:durableId="168639657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1C5"/>
    <w:rsid w:val="00015B1A"/>
    <w:rsid w:val="00045B16"/>
    <w:rsid w:val="000805F9"/>
    <w:rsid w:val="000A30B0"/>
    <w:rsid w:val="000E4345"/>
    <w:rsid w:val="00130FF5"/>
    <w:rsid w:val="001B5B68"/>
    <w:rsid w:val="003103D3"/>
    <w:rsid w:val="00332212"/>
    <w:rsid w:val="004018BE"/>
    <w:rsid w:val="00474184"/>
    <w:rsid w:val="004C29D7"/>
    <w:rsid w:val="00511120"/>
    <w:rsid w:val="00515276"/>
    <w:rsid w:val="005539AD"/>
    <w:rsid w:val="00561629"/>
    <w:rsid w:val="005F6307"/>
    <w:rsid w:val="006055BE"/>
    <w:rsid w:val="006256F7"/>
    <w:rsid w:val="00625C4A"/>
    <w:rsid w:val="00657D15"/>
    <w:rsid w:val="006E4976"/>
    <w:rsid w:val="006F04FB"/>
    <w:rsid w:val="007675F3"/>
    <w:rsid w:val="007C0C62"/>
    <w:rsid w:val="0080454B"/>
    <w:rsid w:val="008160E2"/>
    <w:rsid w:val="008211A6"/>
    <w:rsid w:val="00887BD2"/>
    <w:rsid w:val="00921E0E"/>
    <w:rsid w:val="00932E0C"/>
    <w:rsid w:val="009A2BFB"/>
    <w:rsid w:val="009B71C5"/>
    <w:rsid w:val="009C1936"/>
    <w:rsid w:val="009C4611"/>
    <w:rsid w:val="009D79E6"/>
    <w:rsid w:val="00A32B0F"/>
    <w:rsid w:val="00A7353F"/>
    <w:rsid w:val="00AA7CB2"/>
    <w:rsid w:val="00B41F2D"/>
    <w:rsid w:val="00C34EC2"/>
    <w:rsid w:val="00C36AC1"/>
    <w:rsid w:val="00C501F3"/>
    <w:rsid w:val="00C66DC2"/>
    <w:rsid w:val="00DE58FC"/>
    <w:rsid w:val="00E0280C"/>
    <w:rsid w:val="00E339BF"/>
    <w:rsid w:val="00E50FD2"/>
    <w:rsid w:val="00F52961"/>
    <w:rsid w:val="00FB0BEE"/>
    <w:rsid w:val="00FC5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F672C9"/>
  <w15:chartTrackingRefBased/>
  <w15:docId w15:val="{CCD28F56-B0F5-463C-9B78-98F5ED45E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C29D7"/>
    <w:pPr>
      <w:ind w:left="720"/>
      <w:contextualSpacing/>
    </w:pPr>
  </w:style>
  <w:style w:type="table" w:styleId="Tabela-Siatka">
    <w:name w:val="Table Grid"/>
    <w:basedOn w:val="Standardowy"/>
    <w:uiPriority w:val="39"/>
    <w:rsid w:val="000A30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C34EC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364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53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199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842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3482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344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644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254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780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6437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6978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4708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2671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0308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8" w:space="3" w:color="E1E1E1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9148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1243639">
                                      <w:blockQuote w:val="1"/>
                                      <w:marLeft w:val="0"/>
                                      <w:marRight w:val="0"/>
                                      <w:marTop w:val="30"/>
                                      <w:marBottom w:val="30"/>
                                      <w:divBdr>
                                        <w:top w:val="none" w:sz="0" w:space="0" w:color="auto"/>
                                        <w:left w:val="single" w:sz="12" w:space="5" w:color="1010FF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6712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44648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84396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42976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47996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707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151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Higiena</dc:creator>
  <cp:keywords/>
  <dc:description/>
  <cp:lastModifiedBy>Paulina Witkowska</cp:lastModifiedBy>
  <cp:revision>18</cp:revision>
  <cp:lastPrinted>2026-08-05T12:07:00Z</cp:lastPrinted>
  <dcterms:created xsi:type="dcterms:W3CDTF">2023-04-30T03:52:00Z</dcterms:created>
  <dcterms:modified xsi:type="dcterms:W3CDTF">2026-08-05T12:07:00Z</dcterms:modified>
</cp:coreProperties>
</file>