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ytułzałącznika"/>
      </w:pPr>
      <w:r>
        <w:t>PAKIET NR 14 – RESPIRATORY</w:t>
      </w:r>
    </w:p>
    <w:p>
      <w:pPr>
        <w:pStyle w:val="Podtytułzałącznika"/>
      </w:pPr>
      <w:r>
        <w:t>WYKAZ URZĄDZEŃ ORAZ WYMAGANY I OFEROWANY ZAKRES USŁUGI</w:t>
      </w:r>
    </w:p>
    <w:tbl>
      <w:tblPr>
        <w:tblW w:type="dxa" w:w="9026"/>
        <w:jc w:val="left"/>
        <w:tblLayout w:type="fixed"/>
        <w:tblLook w:firstColumn="1" w:firstRow="1" w:lastColumn="0" w:lastRow="0" w:noHBand="0" w:noVBand="1" w:val="04A0"/>
        <w:tblInd w:w="0" w:type="dxa"/>
        <w:tblBorders>
          <w:top w:val="single" w:sz="4" w:space="0" w:color="B7C9D6"/>
          <w:left w:val="single" w:sz="4" w:space="0" w:color="B7C9D6"/>
          <w:bottom w:val="single" w:sz="4" w:space="0" w:color="B7C9D6"/>
          <w:right w:val="single" w:sz="4" w:space="0" w:color="B7C9D6"/>
          <w:insideH w:val="single" w:sz="4" w:space="0" w:color="B7C9D6"/>
          <w:insideV w:val="single" w:sz="4" w:space="0" w:color="B7C9D6"/>
        </w:tblBorders>
      </w:tblPr>
      <w:tblGrid>
        <w:gridCol w:w="2100"/>
        <w:gridCol w:w="6926"/>
      </w:tblGrid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Nr postępowania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ZP/2501/90/26</w:t>
            </w:r>
          </w:p>
        </w:tc>
      </w:tr>
      <w:tr>
        <w:trPr>
          <w:cantSplit/>
        </w:trPr>
        <w:tc>
          <w:tcPr>
            <w:tcW w:type="dxa" w:w="21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EAF2F8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Nazwa (firma) Wykonawcy</w:t>
            </w:r>
          </w:p>
        </w:tc>
        <w:tc>
          <w:tcPr>
            <w:tcW w:type="dxa" w:w="69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[DO UZUPEŁNIENIA PRZEZ WYKONAWCĘ]</w:t>
            </w:r>
          </w:p>
        </w:tc>
      </w:tr>
    </w:tbl>
    <w:p>
      <w:pPr>
        <w:pStyle w:val="Lista-ustęp"/>
        <w:numPr>
          <w:ilvl w:val="0"/>
          <w:numId w:val="11"/>
        </w:numPr>
      </w:pPr>
      <w:r>
        <w:t>Niniejszy załącznik określa dla pakietu nr 14 urządzenia objęte zamówieniem, harmonogram przeglądów, minimalny wymagany zakres usługi oraz pełny oferowany zakres świadczenia.</w:t>
      </w:r>
    </w:p>
    <w:p>
      <w:pPr>
        <w:pStyle w:val="Lista-ustęp"/>
        <w:numPr>
          <w:ilvl w:val="0"/>
          <w:numId w:val="11"/>
        </w:numPr>
      </w:pPr>
      <w:r>
        <w:t>Po wypełnieniu części III załącznik stanowi treść oferty Wykonawcy w zakresie pakietu nr 14, a po zawarciu umowy dotyczącej tego pakietu – integralny załącznik do umowy.</w:t>
      </w:r>
    </w:p>
    <w:p>
      <w:pPr>
        <w:pStyle w:val="Lista-ustęp"/>
        <w:numPr>
          <w:ilvl w:val="0"/>
          <w:numId w:val="11"/>
        </w:numPr>
      </w:pPr>
      <w:r>
        <w:t>Zakres wskazany w części II jest zakresem minimalnym. Wykonawca wykona również wszystkie czynności, testy, pomiary, regulacje, kalibracje i czynności konserwacyjne wymagane dla standardowego przeglądu przez dokumentację techniczną urządzenia, instrukcję używania lub instrukcję serwisową, zalecenia producenta, obowiązujące przepisy lub normy.</w:t>
      </w:r>
    </w:p>
    <w:p>
      <w:pPr>
        <w:pStyle w:val="Lista-ustęp"/>
        <w:numPr>
          <w:ilvl w:val="0"/>
          <w:numId w:val="11"/>
        </w:numPr>
      </w:pPr>
      <w:r>
        <w:t>W ramach ceny oferty Wykonawca zapewni i wymieni wszystkie elementy i materiały eksploatacyjne wymagane podczas standardowego przeglądu, w tym elementy podlegające wymianie w cyklach wieloletnich, jeżeli termin ich wymiany przypada w okresie realizacji umowy. Nie dotyczy to napraw i części wykraczających poza standardowy przegląd, rozliczanych odrębnie na zasadach określonych w dokumentach zamówienia.</w:t>
      </w:r>
    </w:p>
    <w:p>
      <w:pPr>
        <w:pStyle w:val="Lista-ustęp"/>
        <w:numPr>
          <w:ilvl w:val="0"/>
          <w:numId w:val="11"/>
        </w:numPr>
      </w:pPr>
      <w:r>
        <w:t>Wykonawca nie może wykreślać, ograniczać ani modyfikować treści części I–II. W części III wskazuje wyłącznie świadczenia dodatkowe, wykraczające poza zakres minimalny, oraz informacje o elementach i materiałach przewidzianych do wymiany.</w:t>
      </w:r>
    </w:p>
    <w:p>
      <w:pPr>
        <w:pStyle w:val="Lista-ustęp"/>
        <w:numPr>
          <w:ilvl w:val="0"/>
          <w:numId w:val="11"/>
        </w:numPr>
      </w:pPr>
      <w:r>
        <w:t>Pełny oferowany zakres usługi obejmuje łącznie: zakres minimalny z części II, obowiązki określone w pkt 3)–4) oraz świadczenia dodatkowe wpisane przez Wykonawcę w części III.</w:t>
      </w:r>
    </w:p>
    <w:p>
      <w:pPr>
        <w:pStyle w:val="Lista-ustęp"/>
        <w:numPr>
          <w:ilvl w:val="0"/>
          <w:numId w:val="11"/>
        </w:numPr>
      </w:pPr>
      <w:r>
        <w:t>Brak wpisu w kolumnie dotyczącej świadczeń dodatkowych oznacza, że Wykonawca nie oferuje świadczeń wykraczających poza zakres wymagany. Brak lub niepełny wpis dotyczący elementów i materiałów nie ogranicza obowiązku określonego w pkt 4).</w:t>
      </w:r>
    </w:p>
    <w:p>
      <w:pPr>
        <w:pStyle w:val="Nagłówekdziału"/>
        <w:numPr>
          <w:ilvl w:val="0"/>
          <w:numId w:val="10"/>
        </w:numPr>
      </w:pPr>
      <w:r>
        <w:t>Wykaz urządzeń i harmonogram przeglądów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3500"/>
        <w:gridCol w:w="1900"/>
        <w:gridCol w:w="297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 i dane identyfikacyjne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Miejsce użytkowania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Harmonogram przeglądów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EVE IN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STEPHAN GmbH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S07020411000219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EVE IN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STEPHAN GmbH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S07020411000223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Oddział Anestezjologii i Intensywnej Terapii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</w:t>
            </w:r>
          </w:p>
        </w:tc>
      </w:tr>
      <w:tr>
        <w:trPr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35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  <w:i w:val="0"/>
              </w:rPr>
              <w:t>Respirator EVE IN</w:t>
            </w:r>
            <w:r>
              <w:br/>
            </w:r>
            <w:r>
              <w:rPr>
                <w:b/>
              </w:rPr>
              <w:t xml:space="preserve">Producent: </w:t>
            </w:r>
            <w:r>
              <w:t>STEPHAN GmbH</w:t>
            </w:r>
            <w:r>
              <w:br/>
            </w:r>
            <w:r>
              <w:rPr>
                <w:b/>
              </w:rPr>
              <w:t xml:space="preserve">Rok produkcji: </w:t>
            </w:r>
            <w:r>
              <w:t>2020</w:t>
            </w:r>
            <w:r>
              <w:br/>
            </w:r>
            <w:r>
              <w:rPr>
                <w:b/>
              </w:rPr>
              <w:t xml:space="preserve">Numer fabryczny: </w:t>
            </w:r>
            <w:r>
              <w:t>S07020411000216</w:t>
            </w:r>
          </w:p>
        </w:tc>
        <w:tc>
          <w:tcPr>
            <w:tcW w:type="dxa" w:w="19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SOR</w:t>
            </w:r>
          </w:p>
        </w:tc>
        <w:tc>
          <w:tcPr>
            <w:tcW w:type="dxa" w:w="297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</w:pPr>
            <w:r>
              <w:rPr>
                <w:b/>
              </w:rPr>
              <w:t xml:space="preserve">Pierwszy przegląd: </w:t>
            </w:r>
            <w:r>
              <w:t>12.2026 r.</w:t>
            </w:r>
            <w:r>
              <w:br/>
            </w:r>
            <w:r>
              <w:rPr>
                <w:b/>
              </w:rPr>
              <w:t xml:space="preserve">Częstotliwość: </w:t>
            </w:r>
            <w:r>
              <w:t>co 12 miesięcy</w:t>
            </w:r>
            <w:r>
              <w:br/>
            </w:r>
            <w:r>
              <w:rPr>
                <w:b/>
              </w:rPr>
              <w:t xml:space="preserve">Łączna liczba przeglądów: </w:t>
            </w:r>
            <w:r>
              <w:t>2</w:t>
            </w:r>
            <w:r>
              <w:br/>
            </w:r>
            <w:r>
              <w:rPr>
                <w:b/>
              </w:rPr>
              <w:t xml:space="preserve">Dodatkowo: </w:t>
            </w:r>
            <w:r>
              <w:t>wymiana czujnika tlenu</w:t>
            </w:r>
          </w:p>
        </w:tc>
      </w:tr>
    </w:tbl>
    <w:p>
      <w:pPr>
        <w:pStyle w:val="Nagłówekdziału"/>
        <w:numPr>
          <w:ilvl w:val="0"/>
          <w:numId w:val="10"/>
        </w:numPr>
      </w:pPr>
      <w:r>
        <w:t>Minimalny wymagany zakres usługi</w:t>
      </w:r>
    </w:p>
    <w:p>
      <w:pPr>
        <w:pStyle w:val="Nagłówekaparatu"/>
      </w:pPr>
      <w:r>
        <w:t>Respirator EVE IN</w:t>
      </w:r>
    </w:p>
    <w:p>
      <w:pPr>
        <w:pStyle w:val="Lista-ustęp"/>
        <w:numPr>
          <w:ilvl w:val="0"/>
          <w:numId w:val="14"/>
        </w:numPr>
      </w:pPr>
      <w:r>
        <w:t>Sprawdzenie ogólne stanu respiratora (obudowy, kabla zewnętrznego, zastawki wydechowej i czujnika przepływu (kierunek podłączenia), wężyka sterującego zastawką wydechową oraz przewodów zasilających w tlen.</w:t>
      </w:r>
    </w:p>
    <w:p>
      <w:pPr>
        <w:pStyle w:val="Lista-ustęp"/>
        <w:numPr>
          <w:ilvl w:val="0"/>
          <w:numId w:val="14"/>
        </w:numPr>
      </w:pPr>
      <w:r>
        <w:t>Czyszczenie respiratora.</w:t>
      </w:r>
    </w:p>
    <w:p>
      <w:pPr>
        <w:pStyle w:val="Lista-ustęp"/>
        <w:numPr>
          <w:ilvl w:val="0"/>
          <w:numId w:val="14"/>
        </w:numPr>
      </w:pPr>
      <w:r>
        <w:t>Wymiana filtrów w układzie pneumatycznym respiratora, filtra przeciwpyłowego.</w:t>
      </w:r>
    </w:p>
    <w:p>
      <w:pPr>
        <w:pStyle w:val="Lista-ustęp"/>
        <w:numPr>
          <w:ilvl w:val="0"/>
          <w:numId w:val="14"/>
        </w:numPr>
      </w:pPr>
      <w:r>
        <w:t>Wymiana akumulatora.</w:t>
      </w:r>
    </w:p>
    <w:p>
      <w:pPr>
        <w:pStyle w:val="Lista-ustęp"/>
        <w:numPr>
          <w:ilvl w:val="0"/>
          <w:numId w:val="14"/>
        </w:numPr>
      </w:pPr>
      <w:r>
        <w:t>Kalibracja.</w:t>
      </w:r>
    </w:p>
    <w:p>
      <w:pPr>
        <w:pStyle w:val="Lista-ustęp"/>
        <w:numPr>
          <w:ilvl w:val="0"/>
          <w:numId w:val="14"/>
        </w:numPr>
      </w:pPr>
      <w:r>
        <w:t>Testowanie.</w:t>
      </w:r>
    </w:p>
    <w:p>
      <w:pPr>
        <w:pStyle w:val="Lista-ustęp"/>
        <w:numPr>
          <w:ilvl w:val="0"/>
          <w:numId w:val="14"/>
        </w:numPr>
      </w:pPr>
      <w:r>
        <w:t>Test bezpieczeństwa elektrycznego.</w:t>
      </w:r>
    </w:p>
    <w:p>
      <w:pPr>
        <w:pStyle w:val="Lista-ustęp"/>
        <w:numPr>
          <w:ilvl w:val="0"/>
          <w:numId w:val="14"/>
        </w:numPr>
      </w:pPr>
      <w:r>
        <w:t>Inne czynności przeglądowe zgodnie z instrukcją serwisową.</w:t>
      </w:r>
    </w:p>
    <w:p>
      <w:pPr>
        <w:pStyle w:val="Nagłówekdziału"/>
        <w:numPr>
          <w:ilvl w:val="0"/>
          <w:numId w:val="10"/>
        </w:numPr>
      </w:pPr>
      <w:r>
        <w:t>Część wypełniana przez Wykonawcę</w:t>
      </w:r>
    </w:p>
    <w:p>
      <w:pPr>
        <w:pStyle w:val="Instrukcja"/>
      </w:pPr>
      <w:r>
        <w:t>Nie należy przepisywać zakresu minimalnego z części II. Wykonawca wpisuje jedynie świadczenia dodatkowe oraz informacje o przewidywanych wymianach.</w:t>
      </w:r>
    </w:p>
    <w:tbl>
      <w:tblPr>
        <w:tblW w:type="dxa" w:w="9026"/>
        <w:tblLayout w:type="fixed"/>
        <w:tblLook w:firstColumn="1" w:firstRow="1" w:lastColumn="0" w:lastRow="0" w:noHBand="0" w:noVBand="1" w:val="04A0"/>
        <w:jc w:val="left"/>
        <w:tblInd w:w="0" w:type="dxa"/>
        <w:tblBorders>
          <w:top w:val="single" w:sz="4" w:space="0" w:color="7F8C8D"/>
          <w:left w:val="single" w:sz="4" w:space="0" w:color="7F8C8D"/>
          <w:bottom w:val="single" w:sz="4" w:space="0" w:color="7F8C8D"/>
          <w:right w:val="single" w:sz="4" w:space="0" w:color="7F8C8D"/>
          <w:insideH w:val="single" w:sz="4" w:space="0" w:color="7F8C8D"/>
          <w:insideV w:val="single" w:sz="4" w:space="0" w:color="7F8C8D"/>
        </w:tblBorders>
      </w:tblPr>
      <w:tblGrid>
        <w:gridCol w:w="650"/>
        <w:gridCol w:w="2250"/>
        <w:gridCol w:w="2600"/>
        <w:gridCol w:w="3526"/>
      </w:tblGrid>
      <w:tr>
        <w:trPr>
          <w:cantSplit/>
          <w:tblHeader w:val="true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Lp.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Urządzenie</w:t>
            </w:r>
          </w:p>
        </w:tc>
        <w:tc>
          <w:tcPr>
            <w:tcW w:type="dxa" w:w="260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Dodatkowy zakres usługi (ponad wymagane minimum)</w:t>
            </w:r>
          </w:p>
        </w:tc>
        <w:tc>
          <w:tcPr>
            <w:tcW w:type="dxa" w:w="3526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  <w:shd w:val="clear" w:color="auto" w:fill="D9EAF7"/>
          </w:tcPr>
          <w:p>
            <w:pPr>
              <w:pStyle w:val="Nagłówektabeli"/>
              <w:keepNext w:val="0"/>
              <w:spacing w:before="0" w:after="0" w:line="240" w:lineRule="auto"/>
              <w:jc w:val="center"/>
            </w:pPr>
            <w:r>
              <w:rPr>
                <w:rFonts w:ascii="Arial" w:hAnsi="Arial" w:eastAsia="Arial" w:cs="Arial"/>
                <w:b/>
                <w:i w:val="0"/>
                <w:color w:val="1F4E79"/>
                <w:sz w:val="18"/>
                <w:lang w:val="pl-PL"/>
              </w:rPr>
              <w:t>Elementy i materiały do wymiany w okresie umowy (nazwa oraz termin lub częstotliwość)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1.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EVE IN – nr fabr. S07020411000219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2.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EVE IN – nr fabr. S07020411000223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  <w:tr>
        <w:trPr>
          <w:trHeight w:val="500" w:hRule="atLeast"/>
          <w:cantSplit/>
        </w:trPr>
        <w:tc>
          <w:tcPr>
            <w:tcW w:type="dxa" w:w="6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center"/>
            </w:pPr>
            <w:r>
              <w:rPr>
                <w:b w:val="0"/>
                <w:i w:val="0"/>
              </w:rPr>
              <w:t>3.</w:t>
            </w:r>
          </w:p>
        </w:tc>
        <w:tc>
          <w:tcPr>
            <w:tcW w:type="dxa" w:w="2250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/>
                <w:i w:val="0"/>
              </w:rPr>
              <w:t>Respirator EVE IN – nr fabr. S07020411000216</w:t>
            </w:r>
          </w:p>
        </w:tc>
        <w:tc>
          <w:tcPr>
            <w:tcW w:type="dxa" w:w="2600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  <w:tc>
          <w:tcPr>
            <w:tcW w:type="dxa" w:w="3526"/>
            <w:shd w:val="clear" w:color="auto" w:fill="FFF2CC"/>
            <w:tcMar>
              <w:top w:w="80" w:type="dxa"/>
              <w:start w:w="110" w:type="dxa"/>
              <w:bottom w:w="80" w:type="dxa"/>
              <w:end w:w="110" w:type="dxa"/>
            </w:tcMar>
            <w:vAlign w:val="center"/>
          </w:tcPr>
          <w:p>
            <w:pPr>
              <w:pStyle w:val="Teksttabeli"/>
              <w:keepNext w:val="0"/>
              <w:spacing w:before="0" w:after="0" w:line="240" w:lineRule="auto"/>
              <w:jc w:val="left"/>
            </w:pPr>
            <w:r>
              <w:rPr>
                <w:b w:val="0"/>
                <w:i/>
              </w:rPr>
              <w:t>[wpisać lub „nie dotyczy”]</w:t>
            </w:r>
          </w:p>
        </w:tc>
      </w:tr>
    </w:tbl>
    <w:p>
      <w:pPr>
        <w:pStyle w:val="Nagłówekaparatu"/>
      </w:pPr>
      <w:r>
        <w:t>Oświadczenia Wykonawcy</w:t>
      </w:r>
    </w:p>
    <w:p>
      <w:pPr>
        <w:pStyle w:val="Lista-ustęp"/>
        <w:numPr>
          <w:ilvl w:val="0"/>
          <w:numId w:val="13"/>
        </w:numPr>
      </w:pPr>
      <w:r>
        <w:t>oferuję wykonanie pełnego zakresu usługi określonego w niniejszym załączniku, bez wyłączeń i zastrzeżeń;</w:t>
      </w:r>
    </w:p>
    <w:p>
      <w:pPr>
        <w:pStyle w:val="Lista-ustęp"/>
        <w:numPr>
          <w:ilvl w:val="0"/>
          <w:numId w:val="13"/>
        </w:numPr>
      </w:pPr>
      <w:r>
        <w:t>zakres czynności wykonywanych w ramach przeglądów oraz wymiana wymaganych elementów i materiałów eksploatacyjnych będą zgodne z zaleceniami producenta, dokumentacją urządzeń, obowiązującymi przepisami i normami;</w:t>
      </w:r>
    </w:p>
    <w:p>
      <w:pPr>
        <w:pStyle w:val="Lista-ustęp"/>
        <w:numPr>
          <w:ilvl w:val="0"/>
          <w:numId w:val="13"/>
        </w:numPr>
      </w:pPr>
      <w:r>
        <w:t>cena oferty obejmuje wszystkie czynności, elementy i materiały wymagane w ramach standardowego przeglądu, na zasadach określonych w dokumentach zamówienia.</w:t>
      </w:r>
    </w:p>
    <w:p>
      <w:pPr>
        <w:pStyle w:val="Lista-ustęp"/>
        <w:jc w:val="right"/>
      </w:pPr>
      <w:r>
        <w:t>Kwalifikowany podpis elektroniczny</w:t>
      </w:r>
    </w:p>
    <w:sectPr w:rsidR="00FC693F" w:rsidRPr="0006063C" w:rsidSect="00034616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keepNext w:val="0"/>
      <w:spacing w:before="0" w:after="0" w:line="240" w:lineRule="auto"/>
      <w:jc w:val="center"/>
    </w:pPr>
    <w:r>
      <w:rPr>
        <w:rFonts w:ascii="Arial" w:hAnsi="Arial" w:eastAsia="Arial" w:cs="Arial"/>
        <w:sz w:val="18"/>
        <w:lang w:val="pl-PL"/>
      </w:rPr>
      <w:t xml:space="preserve">str. </w:t>
    </w:r>
    <w:r>
      <w:rPr>
        <w:rFonts w:ascii="Arial" w:hAnsi="Arial" w:eastAsia="Arial" w:cs="Arial"/>
        <w:sz w:val="18"/>
        <w:lang w:val="pl-PL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keepNext w:val="0"/>
      <w:spacing w:before="0" w:after="0" w:line="240" w:lineRule="auto"/>
      <w:jc w:val="right"/>
    </w:pPr>
    <w:r>
      <w:rPr>
        <w:rFonts w:ascii="Arial" w:hAnsi="Arial" w:eastAsia="Arial" w:cs="Arial"/>
        <w:b/>
        <w:color w:val="1F4E79"/>
        <w:sz w:val="18"/>
        <w:lang w:val="pl-PL"/>
      </w:rPr>
      <w:t>Załącznik nr 2a do SWZ – pakiet nr 14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nsid w:val="00000009"/>
    <w:multiLevelType w:val="hybridMultilevel"/>
    <w:name w:val="Załącznik 2a - lista 1-a-tiret"/>
    <w:lvl w:ilvl="0">
      <w:start w:val="1"/>
      <w:numFmt w:val="decimal"/>
      <w:pStyle w:val="Lista-ustęp"/>
      <w:lvlText w:val="%1)"/>
      <w:lvlJc w:val="left"/>
      <w:suff w:val="tab"/>
      <w:pPr>
        <w:tabs>
          <w:tab w:val="num" w:pos="360"/>
        </w:tabs>
        <w:ind w:left="36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1">
      <w:start w:val="1"/>
      <w:numFmt w:val="lowerLetter"/>
      <w:pStyle w:val="Lista-litera"/>
      <w:lvlText w:val="%2)"/>
      <w:lvlJc w:val="left"/>
      <w:suff w:val="tab"/>
      <w:lvlRestart w:val="1"/>
      <w:pPr>
        <w:tabs>
          <w:tab w:val="num" w:pos="720"/>
        </w:tabs>
        <w:ind w:left="72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  <w:lvl w:ilvl="2">
      <w:start w:val="1"/>
      <w:numFmt w:val="bullet"/>
      <w:pStyle w:val="Lista-tiret"/>
      <w:lvlText w:val="–"/>
      <w:lvlJc w:val="left"/>
      <w:suff w:val="tab"/>
      <w:lvlRestart w:val="2"/>
      <w:pPr>
        <w:tabs>
          <w:tab w:val="num" w:pos="1080"/>
        </w:tabs>
        <w:ind w:left="1080" w:hanging="360"/>
        <w:spacing w:before="0" w:after="0" w:line="240" w:lineRule="auto"/>
      </w:pPr>
      <w:rPr>
        <w:rFonts w:ascii="Arial" w:hAnsi="Arial" w:eastAsia="Arial" w:cs="Arial"/>
        <w:sz w:val="18"/>
        <w:szCs w:val="18"/>
      </w:rPr>
    </w:lvl>
  </w:abstractNum>
  <w:abstractNum w:abstractNumId="10">
    <w:multiLevelType w:val="singleLevel"/>
    <w:name w:val="Działy załącznika - cyfry rzymskie"/>
    <w:lvl w:ilvl="0">
      <w:start w:val="1"/>
      <w:numFmt w:val="upperRoman"/>
      <w:pStyle w:val="Nagłówekdziału"/>
      <w:lvlText w:val="%1."/>
      <w:lvlJc w:val="left"/>
      <w:suff w:val="space"/>
      <w:pPr>
        <w:ind w:left="0" w:hanging="0"/>
      </w:pPr>
      <w:rPr>
        <w:rFonts w:ascii="Arial" w:hAnsi="Arial" w:eastAsia="Arial" w:cs="Arial"/>
        <w:b w:val="1"/>
        <w:color w:val="1F4E79"/>
        <w:sz w:val="18"/>
        <w:szCs w:val="18"/>
      </w:rPr>
    </w:lvl>
  </w:abstractNum>
  <w:num w:numId="10">
    <w:abstractNumId w:val="10"/>
    <w:lvlOverride w:ilvl="0">
      <w:startOverride w:val="1"/>
    </w:lvlOverride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  <w:updateFields w:val="tru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Tytułzałącznika">
    <w:name w:val="Tytuł załącznika"/>
    <w:basedOn w:val="Normal"/>
    <w:pPr>
      <w:keepNext/>
      <w:spacing w:before="0" w:after="4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Podtytułzałącznika">
    <w:name w:val="Podtytuł załącznika"/>
    <w:basedOn w:val="Normal"/>
    <w:pPr>
      <w:keepNext/>
      <w:spacing w:before="0" w:after="8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działu">
    <w:name w:val="Nagłówek działu"/>
    <w:basedOn w:val="Normal"/>
    <w:pPr>
      <w:keepNext/>
      <w:spacing w:before="120" w:after="6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Nagłówekaparatu">
    <w:name w:val="Nagłówek aparatu"/>
    <w:basedOn w:val="Normal"/>
    <w:pPr>
      <w:keepNext/>
      <w:spacing w:before="100" w:after="40" w:line="240" w:lineRule="auto"/>
      <w:jc w:val="left"/>
    </w:pPr>
    <w:rPr>
      <w:rFonts w:ascii="Arial" w:hAnsi="Arial" w:eastAsia="Arial" w:cs="Arial"/>
      <w:b/>
      <w:i w:val="0"/>
      <w:color w:val="1F4E79"/>
      <w:sz w:val="18"/>
      <w:szCs w:val="18"/>
    </w:rPr>
  </w:style>
  <w:style w:type="paragraph" w:customStyle="1" w:styleId="Instrukcja">
    <w:name w:val="Instrukcja"/>
    <w:basedOn w:val="Normal"/>
    <w:pPr>
      <w:keepNext w:val="0"/>
      <w:spacing w:before="40" w:after="40" w:line="240" w:lineRule="auto"/>
      <w:jc w:val="left"/>
    </w:pPr>
    <w:rPr>
      <w:rFonts w:ascii="Arial" w:hAnsi="Arial" w:eastAsia="Arial" w:cs="Arial"/>
      <w:b w:val="0"/>
      <w:i/>
      <w:color w:val="666666"/>
      <w:sz w:val="18"/>
      <w:szCs w:val="18"/>
    </w:rPr>
  </w:style>
  <w:style w:type="paragraph" w:customStyle="1" w:styleId="Spistreści-wpis">
    <w:name w:val="Spis treści - wpis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1F4E79"/>
      <w:sz w:val="18"/>
      <w:szCs w:val="18"/>
    </w:rPr>
  </w:style>
  <w:style w:type="paragraph" w:customStyle="1" w:styleId="Lista-ustęp">
    <w:name w:val="Lista - ustęp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litera">
    <w:name w:val="Lista - litera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Lista-tiret">
    <w:name w:val="Lista - tiret"/>
    <w:basedOn w:val="ListParagraph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Teksttabeli">
    <w:name w:val="Tekst tabeli"/>
    <w:basedOn w:val="Normal"/>
    <w:pPr>
      <w:keepNext w:val="0"/>
      <w:spacing w:before="0" w:after="0" w:line="240" w:lineRule="auto"/>
      <w:jc w:val="left"/>
    </w:pPr>
    <w:rPr>
      <w:rFonts w:ascii="Arial" w:hAnsi="Arial" w:eastAsia="Arial" w:cs="Arial"/>
      <w:b w:val="0"/>
      <w:i w:val="0"/>
      <w:color w:val="000000"/>
      <w:sz w:val="18"/>
      <w:szCs w:val="18"/>
    </w:rPr>
  </w:style>
  <w:style w:type="paragraph" w:customStyle="1" w:styleId="Nagłówektabeli">
    <w:name w:val="Nagłówek tabeli"/>
    <w:basedOn w:val="Normal"/>
    <w:pPr>
      <w:keepNext w:val="0"/>
      <w:spacing w:before="0" w:after="0" w:line="240" w:lineRule="auto"/>
      <w:jc w:val="center"/>
    </w:pPr>
    <w:rPr>
      <w:rFonts w:ascii="Arial" w:hAnsi="Arial" w:eastAsia="Arial" w:cs="Arial"/>
      <w:b/>
      <w:i w:val="0"/>
      <w:color w:val="1F4E79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2a do SWZ – pakiet nr 7</dc:title>
  <dc:subject>Wykaz urządzeń oraz wymagany i oferowany zakres usługi</dc:subject>
  <dc:creator>Specjalistyczny Szpital Wojewódzki w Ciechanowie</dc:creator>
  <cp:keywords>SWZ, pakiet 7, przeglądy aparatury medycznej, Tomograf okulistyczny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