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5"/>
        <w:gridCol w:w="1693"/>
        <w:gridCol w:w="2703"/>
        <w:gridCol w:w="1558"/>
        <w:gridCol w:w="3403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Zestaw do endoskopowych operacji zatok (tor wizyjny, głowica kamery, urządzenie do archiwizacji, zestaw optyk sztywnych, konsola do płukania optyk przy zabiegach, shaver, ostrza do zabiegów endoskopowych, zestaw do narządzi chirurgicznych z kontenerami)</w:t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bookmarkStart w:id="0" w:name="RANGE!A1%253AA129"/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Procesor kamery Full HDTV (obsługiwane rozdzielczości 1920x1080p, WUXGA, SXGA) zintegrowany ze źródlem światła LED</w:t>
            </w:r>
            <w:bookmarkEnd w:id="0"/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Wbudowany panel dotykowy do s</w:t>
            </w:r>
            <w:bookmarkStart w:id="1" w:name="_GoBack"/>
            <w:bookmarkEnd w:id="1"/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terowania urządzeniem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ustawienia stosunku boków obrazu endoskopowego HDTV w skali 16:9, 16:10, 4:3 oraz 5:4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Źródło światła LED z czterema diodami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wyboru automatycznego włączenia lampy razem ze sterownikiem - funkcja włączona lub wyłączona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Włącznik/wyłącznik  ze wskaźnikiem stanu lampy na panelu dotykowym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Jednostka wyposażona w filtr optyczny do obrazowania z wykorzystaniem technologii optyczno-cyfrowej blokującej pasmo czerwone w widmie światła białego celem diagnostyki unaczynienia w warstwie podśluzówkowej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Kompatybilny z funkcją obrazowania w podczerwieni IR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podłączenia głowicy kamery trójprzetwornikowej oraz wideoendoskopów z  przetwornikiem wbudowanym w końcówkę dystalną: wideocystoskopu HD, wideoureterorenoskopu oraz wideoendoskopów laryngologicznych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Tryb "laser" - do pracy z laserem do zastosowań endoskopowych; zapobiega rozmyciu obrazu podczas pracy lasera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podłączenia wideolaparoskopów HD ze stałym lub zmiennym kątem patrzenia, z przetwornikami CCD wbudowanymi w końcówkę dystalną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Wyjścia cyfrowe 2x HD-SDI oraz 1xDVI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Wyjścia analogowe: 1xCOMP, 1xY/C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Gniazdo USB do podłączenia opcjonalnej klawiatury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Gniazdo przyłączeniowe włącznika nożnego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Gniazda (2x) do podłączenia sterowania urządzeniami peryferyjnymi np. zewnętrzny archiwizator danych, drukarka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Gniazdo USB do podłączenia pamięci zewnętrznej typu Flash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Pamięć zewnętrzna w komplecie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Pamięć wewnętrzna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Format zapisywania plików: .jpg oraz .tiff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Rozdzielczość zapisywanych obrazów: SD, HD, obydwa formaty: HD i SD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automatycznego skasowania obrazów nieprzesłanych do pamięci przenośnej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 zestawie przewód sygnałowy SDI dł. 2,5m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rotacji obrazu o 180 stopni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Możliwość cyfrowego przybliżenia obrazu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Automatyczne dostosowywanie jasności obrazu w trybach światła białego, podczerwieni i obrazowania wąską wiązką światła z dostosowaniem 10.-stopniowym w podstawowym menu panelu dotykowego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Automatyczne dostosowanie jasności w przedziale od -8 do +8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Ręczne dostosowanie jasności obrazu w przedziale -17 do +17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dostosowania kolorów obrazu (czerwony, niebieski, chroma ) w skali ośmiostopniowej (od -8 do +8)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3 tryby kolorów dla obrazowania w świetle białym oraz 4 tryby kolorów obrazowania w NBI (Auto, Mode 1-3)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2 tryby kolorów do wyboru w trybie obserwacji IR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przypisania ustawień dla 20. użytkowników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zapisu profilu użytkownika na pamięci zewnętrznej i zaimportowania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wprowadzenia danych pacjenta za pomocą panelu dotykowego, opcjonalnej klawiatury lub zaimportowania z pamięci przenośnej (do 50. rekordów)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Możliwość wyświetlenia danych pacjenta i stanu systemu endoskopowego na ekranie monitora podczas zabiegu z opcjami włącz/wyłącz wyświetlanie oraz dostosowania ilości wyświetlanych danych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Możliwość ochrony danych hasłem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Trzy wartości ustawienia przysłony - automatyczne, z pomiarem w centrum obrazu oraz na całej powierzchni obrazu endoskopowego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Trzy tryby ustawienia przysłony: automatyczny, średni, szczytowy (peak)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Trzy obszary pomiaru dla przysłony: auto, w centrum, na całości obrazu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Dwa tryby ustawienia czułości przesłony: wysoki (szybka reakcja) i niski (wolna reakcja)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3 stopnie wzmocnienia obrazu dla obrazowania w świetle białym, w trybie podczerwieni oraz w obrazowaniu wąską wiązką światła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Wzmocnienie strukturalne obrazu (2 tryby ośmiostopniowe) oraz wzmocnienie w rogach obrazu (tryb ośmiostopniowy)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Filtr moire - dwustopniowy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3 stopnie regulacji kontrastu (wysoki, średni, niski)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Możliowość ustawienia czasu ekspozycji w trybie podczerwieni IR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Automatyczne wzmocnienie obrazu AGC z opcją regulacji - funkcja elektronicznego rozjaśnienia obrazu endoskopowego z redukcją szumu (6dB-18dB)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Wyświetlanie informacji o podłączonej głowicy kamery lub wideolaparoskopie (model, SN, funkcje przypisane do przycisków, nazwa własna ustawień)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Wyświetlanie kodów błędów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Ustawienie języka menu, daty, czasu, formatu daty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Zabezpiecznie przed porażeniem elektrycznycm - klasa 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Monitor Medyczny 32"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Podświetlenie LED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Wózek endoskopowy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Wyposażony w półki na sprzęt, uchwyt i regulowane ramię do monitora, na podstawie jezdnej z blokowanymi dwoma kołami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Dedykowany uchwyt na wideoendoskop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Szuflada na klawiaturę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Uchwyty boczne do przechowywania czystych wideoendoskopów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Zamykany panel tylny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podłączenia zasilania wszystkich urządzeń do wózka i uruchomienie jednym włącznikiem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Głowica kamery endoskopowej, trzyprzetwornikowa CMOS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Kompatybilna z technologią optyczno-cyfrową blokującą pasmo czerwone w widmie światła białego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Typ ochrony BF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3 programowalne przyciski funkcyjne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Zoom optyczny oraz ostrość sterowane pokrętłami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współpracy z optykami ze standardowym przyłączem okularowym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Światłowód do endoskopów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Średnica mniejsza lub równa 4,1mm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Średnica wiązki 2,8mm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Średnica zewnętrzna 6,8mm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Długość min 2,9m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Waga max 280g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Sinuskop, 4mm, 0st, 177 mm dł. rob. Rozdzielczość wystarczająca dla systemów 4K UHD lub FullHD. Z soczewkami o ultra-niskiej rozpraszalności.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Sinuskop, 4mm, 30st, 177 mm dł. rob. Rozdzielczość wystarczająca dla systemów 4K UHD lub FullHD. Z soczewkami o ultra-niskiej rozpraszalności.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Sinuskop, 4mm, 45st, 177 mm dł. rob. Rozdzielczość wystarczająca dla systemów 4K UHD lub FullHD. Z soczewkami o ultra-niskiej rozpraszalności.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Kontener do sterylizacji maksymalnie 2 optyk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Wymiary 446 x 49 x 88 mm (+/- 5mm)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Uchwyty silikonowe podtrzymujące optykę wewnątrz kontenera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Przezroczysta pokrywa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 xml:space="preserve">System ssąco-płuczący do środoperacyjnego przemywania czoła optyki 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System wykorzystujący jednorazowe, sterylne, dreny ssąco płuczące do podłączenia do płaszcza na optykę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System wykorzystujące jednorazowe, sterylne, płaszcze płuczące z aluminium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Dostępne płaszcze do optyk różnych producentów, standardowych, HD i 4K, 0, 30, 45, 70 stopni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Sterowanie z przycisku nożnego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Konsola wyposażona w jeden zacisk na dren płuczący i ssący oraz pokrętło ustawiające przepływ w cyklu płukania.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Konsola przeznaczona do powieszenia na stojaku na kroplówki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Płaszcz do płukania optyk 0st o długości 177 mm,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Płaszcz do płukania optyk 30st o długości 177 mm,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Płaszcz do płukania optyk 45st o długości 177 mm,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4"/>
                <w:szCs w:val="24"/>
              </w:rPr>
              <w:t>Zestaw drenów jednorazowych do płaszczy płuczących optykę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System shaver laryngologiczny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System shaver i wiertarki przeznaczony do operacji w obrębie zatok przynosowych, podstawy czaszki, krtani i gardła, w tym do operacji migdałków metodą wewnątrz-kapsułową, z obsługą wiertarki szybkoobrotowej do 85.000RPM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Wyposażony w technologię bipolarną i monopolarną przekazywaną bezpośrednio do ostrzy. Moduł elektrochirurgiczny zintegrowany w konsoli.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Możliwość podłączenia kątnicy długiej i krótkiej, prostnicy długiej i krótkiej oraz końcówki dedykowanej do stapedotomii.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Konsola shavera wyposażona w ekran dotykowy, wielokolorowy, gniazdo płytki biernej, rozpoznająca podłączone ostrze, wyposażona w pompę płuczącą podająca płyn do uchwytu shavera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Ssak do podłączenia konsoli shavera, kompatybilny z konsolą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Uchwyt shavera z uchwytem długopisowym, autoklawowalna rękojeść, żywotność rękojeści min 700 cykli autoklawowania, długość przewodu min 3,2m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Kosz do sterylizacji uchwytu długopisowego, wnętrze z zaczepami na uchwyt rękojeść shavera i kabel, wykonany ze stali nierdzewnej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Ostrze shavera, typ A, proste, agresywne z jednym zębem, śr. 4mm, jednorazowe, sterylne,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Ostrze shavera standardowe, ząbkowane, śr. 4 mm, proste, z dystalnym ssaniem, jednorazowe, sterylne,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Ostrze shavera, ząbkowane, z energią bipolarną na końcówce dystalnej, z dystalnym ssaniem,  śr. 4mm, proste, jednorazowe, sterylne, op. 5 szt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Dren ssąco-płuczący, zakładany na tył rękojeści, z mechanizmem obrotowym ostrza zintegrowanym w drenie, z systemem przeczyszczającym dren i rękojeść shavera w postaci gruszki i zaworu zwrotnego, umożliwiający odetkanie kanału ssącego w kierunku przeciwnym do kierunku ssania bez użycia dodatkowych instrumentów, sterylny, jednorazowy,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Dren ssąco-płuczący, zakładany na tył rękojeści, z mechanizmem obrotowym ostrza zintegrowanym w drenie, sterylny, jednorazowy,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Dren ssący do połączenia elektrycznego ssaka ze słojem, jednorazowy z filtrem, niesterylny,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Zestaw do czyszczenia rękojeści shavera (kompatybilny z oferowanym shaverem), zawierający dwie szczoteczki i przepychacz, sterylny, op. 5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Wyposażenie do zabiegów FESS, w skład którego wchodzą: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Ssak wg. Eickena, z Luer, krótko zakrzywiony, 3 x 145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Ssak wg. Eickena, z Luer, długo zakrzywiony, 3 x 145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Ssak wg. Eickena, z Luer, długo zakrzywiony, zginany, 3 x 145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Ssak wg. Frazier, z podziałką i dziurką, 3,3 x 90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Nożyczki nosowe, ząbkowane, dł. Robocza 130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Elewator Freer, podwójnie zakończony, typ amerykański, tępo/ostry, szer. 4,5 mm, rozmiar 200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Podważacz do zatok szczękowych, podwójnie zakończona sonda, kulki na końcach 1,2 x 2 mm, rozmiar 190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Podważacz do zatok szczękowych, podwójnie zakończona sonda, kulki na końcach śr. 1,3 mm, rozmiar 210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Kleszczyki przecinające wg Blakesleya, proste, 2,5 x 100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Kleszczyki przecinające wg Blakesleya, podgięte do góry 45 st., 2,5 x 100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Kleszczyki chwytające wg. Blakesleya, proste 3,5 x 115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Kleszczyki chwytające wg. Blakesleya, podgięte do góry 45 st., 3,5 x 115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Kleszcze obrotowe 360 st., do tyłu tnące, podgięte do góry, 2,5 x 100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Kleszcze obrotowe 360 st., do tyłu tnące, płaszcz wygięty w dół, 2,0 x 100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Punch tnący, boczny, przecinający, bransza w dół i w lewo, 3,0 x 130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Punch tnący, boczny, przecinający, bransza w dół i w prawo, 3,0 x 130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Nóż kosa typu Draff, dł. ostrza 10 mm, dł. całkowita 190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Kleszcze chwytające, obrotowe 360 st., kąt bransz 120 st., dł. 100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Kleszcze przecinające Wigand-Herberhold, tnące do góry i do przodu, dł. 130 mm, rozmiar L, dolne bransze tnące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Elewator Gorney z kanałem ssącym w rozmiarze 3,0, długość 190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Kontener do sterylizacji narzędzi, wymiary 537 x 139 x 268 mm, posiadający pokrywę oraz silikonową matę, wykonany z tworzywa sztucznego, które nadaje się do sterylizacji parowej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Wkład do kontenera do sterylizacji posiadający matę silikonową, wymiary 482 x 60 x 224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Wkład do kontenera do sterylizacji posiadający matę silikonową, wymiary 460 x 39 x 207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Szkolenie kadawerowe dla dwóch osób w Polsce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Paszport techniczny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160" w:leader="none"/>
              </w:tabs>
              <w:snapToGrid w:val="false"/>
              <w:ind w:right="144" w:hanging="0"/>
              <w:rPr/>
            </w:pPr>
            <w:r>
              <w:rPr>
                <w:rFonts w:cs="Calibri" w:ascii="Calibri" w:hAnsi="Calibri"/>
                <w:color w:val="000000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2" w:name="_Hlk506288726"/>
      <w:bookmarkEnd w:id="2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NDKPJE+TimesNew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00f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0"/>
      <w:sz w:val="24"/>
      <w:szCs w:val="24"/>
      <w:lang w:val="pl-PL" w:eastAsia="pl-PL" w:bidi="ar-SA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false"/>
      <w:textAlignment w:val="baseline"/>
    </w:pPr>
    <w:rPr>
      <w:kern w:val="2"/>
      <w:sz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LibreOffice/6.2.3.2$Windows_X86_64 LibreOffice_project/aecc05fe267cc68dde00352a451aa867b3b546ac</Application>
  <Pages>8</Pages>
  <Words>1821</Words>
  <Characters>10681</Characters>
  <CharactersWithSpaces>12344</CharactersWithSpaces>
  <Paragraphs>411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2019-10-04T09:25:10Z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