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23" w:type="dxa"/>
        <w:jc w:val="left"/>
        <w:tblInd w:w="4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66"/>
        <w:gridCol w:w="1693"/>
        <w:gridCol w:w="2702"/>
        <w:gridCol w:w="1559"/>
        <w:gridCol w:w="3402"/>
      </w:tblGrid>
      <w:tr>
        <w:trPr>
          <w:trHeight w:val="284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  <w:u w:val="single"/>
              </w:rPr>
              <w:t>Lampa szczelinowa</w:t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36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7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14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406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1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PARAMETRY OFEROWANE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(wypełnia wykonawca)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Lampa ze źródłem światła umieszczonym powyżej układu optycznego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Pięć powiększeń: 6X, 10X, 16X, 25X, 40X o odpowiadającym im średnicach polach widzenia w zakresie  5,6 mm do 35,1 mm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Filtry : niebieski, zielony, odcinający UV i IR , amber zwiększający kontrast naczyń siatkówki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Regulacja natężenia światła pokrętłem w korpusie lampy umieszczonym w pobliżu joysticka regulującego pozycję lampy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Okulary 12.5X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Precyzyjna i płynna regulacja góra-dół joystickiem  poprzez możliwość zbalansowania ciężaru wyposażenia dodatkowego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Szerokość  szczeliny : regulacja ciągła od 14mm do 0mm (przy 14mm szczelina </w:t>
            </w:r>
          </w:p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staje się okręgiem)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Długość szczeliny: regulacja ciągła od 14mm do 1mm (przy 14mm szczelina staje </w:t>
            </w:r>
          </w:p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się okręgiem)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Kąt szczeliny 0 do 180 stopni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Źródło oświetlenia  Halogenowe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Ruch wzdłużny 90mm </w:t>
            </w:r>
          </w:p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Ruch poprzeczny 100mm </w:t>
            </w:r>
          </w:p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Ruch podstawy 12mm </w:t>
            </w:r>
          </w:p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Ruch w pionie 30mm </w:t>
            </w:r>
          </w:p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Ruch podbródka 80mm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Fiksator: czerwona lampka LED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pochylenia szczeliny w kierunku pacjenta o 5, 10, 15 i 20 stopni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Stolik elektryczny pod urządzenie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Filtry Fluo (exciter/barier)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Gwarancja min. 36 m-cy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Tahoma" w:cs="Calibri" w:ascii="Calibri" w:hAnsi="Calibri" w:asciiTheme="minorHAnsi" w:cstheme="minorHAnsi" w:hAnsiTheme="minorHAns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ind w:right="144" w:hanging="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szCs w:val="24"/>
              </w:rPr>
              <w:t>Zapewniony serwis pogwarancyjny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54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Okres zagwarantowania dostępności części  zamiennych minimum 10 lat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Montaż, uruchomienie i szkolenie obsługi w cenie urządzenia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Instrukcja obsługi w języku polskim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160" w:leader="none"/>
              </w:tabs>
              <w:snapToGrid w:val="false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Paszport techniczny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miejscowość, data</w:t>
      </w:r>
    </w:p>
    <w:p>
      <w:pPr>
        <w:pStyle w:val="Normal"/>
        <w:ind w:left="5103" w:hanging="5103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>
      <w:pPr>
        <w:pStyle w:val="Normal"/>
        <w:ind w:left="5103" w:hanging="5103"/>
        <w:rPr/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podpis i pieczęć wykonawc</w:t>
      </w:r>
      <w:bookmarkStart w:id="2" w:name="_Hlk506288726"/>
      <w:bookmarkEnd w:id="2"/>
      <w:r>
        <w:rPr>
          <w:rFonts w:cs="Calibri" w:ascii="Calibri" w:hAnsi="Calibri" w:asciiTheme="minorHAnsi" w:cstheme="minorHAnsi" w:hAnsiTheme="minorHAnsi"/>
          <w:sz w:val="24"/>
          <w:szCs w:val="24"/>
        </w:rPr>
        <w:t>y</w:t>
      </w:r>
    </w:p>
    <w:sectPr>
      <w:type w:val="nextPage"/>
      <w:pgSz w:w="11906" w:h="16838"/>
      <w:pgMar w:left="1080" w:right="108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NDKPJE+TimesNewRoman">
    <w:charset w:val="ee"/>
    <w:family w:val="roman"/>
    <w:pitch w:val="variable"/>
  </w:font>
  <w:font w:name="Trebuchet MS">
    <w:charset w:val="ee"/>
    <w:family w:val="swiss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5"/>
  <w:defaultTabStop w:val="709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9600f0"/>
    <w:pPr>
      <w:widowControl w:val="fals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Nagwek5">
    <w:name w:val="Heading 5"/>
    <w:basedOn w:val="Normal"/>
    <w:next w:val="Normal"/>
    <w:qFormat/>
    <w:pPr>
      <w:keepNext w:val="true"/>
      <w:ind w:left="0" w:right="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9600f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1e169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HTMLwstpniesformatowanyZnak" w:customStyle="1">
    <w:name w:val="HTML - wstępnie sformatowany Znak"/>
    <w:basedOn w:val="DefaultParagraphFont"/>
    <w:link w:val="HTML-wstpniesformatowany"/>
    <w:qFormat/>
    <w:rsid w:val="00f35111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ListLabel1">
    <w:name w:val="ListLabel 1"/>
    <w:qFormat/>
    <w:rPr>
      <w:rFonts w:eastAsia="Times New Roman" w:cs="Arial"/>
    </w:rPr>
  </w:style>
  <w:style w:type="character" w:styleId="Znakinumeracji">
    <w:name w:val="Znaki numeracji"/>
    <w:qFormat/>
    <w:rPr/>
  </w:style>
  <w:style w:type="character" w:styleId="Domylnaczcionkaakapitu1">
    <w:name w:val="Domyślna czcionka akapitu1"/>
    <w:qFormat/>
    <w:rPr/>
  </w:style>
  <w:style w:type="character" w:styleId="AbsatzStandardschriftart">
    <w:name w:val="Absatz-Standardschriftart"/>
    <w:qFormat/>
    <w:rPr/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">
    <w:name w:val="Domyślna czcionka akapitu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1e169d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Stopka">
    <w:name w:val="Footer"/>
    <w:basedOn w:val="Normal"/>
    <w:link w:val="StopkaZnak"/>
    <w:rsid w:val="009600f0"/>
    <w:pPr>
      <w:widowControl/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600f0"/>
    <w:pPr>
      <w:widowControl/>
      <w:spacing w:before="0" w:after="0"/>
      <w:ind w:left="720" w:hanging="0"/>
      <w:contextualSpacing/>
    </w:pPr>
    <w:rPr>
      <w:rFonts w:ascii="Verdana" w:hAnsi="Verdana"/>
      <w:sz w:val="22"/>
    </w:rPr>
  </w:style>
  <w:style w:type="paragraph" w:styleId="NoSpacing">
    <w:name w:val="No Spacing"/>
    <w:basedOn w:val="Normal"/>
    <w:uiPriority w:val="1"/>
    <w:qFormat/>
    <w:rsid w:val="004c2b2d"/>
    <w:pPr>
      <w:widowControl/>
    </w:pPr>
    <w:rPr>
      <w:rFonts w:ascii="Calibri" w:hAnsi="Calibri" w:eastAsia="Calibri" w:cs="Calibri" w:eastAsiaTheme="minorHAnsi"/>
      <w:sz w:val="22"/>
      <w:szCs w:val="22"/>
    </w:rPr>
  </w:style>
  <w:style w:type="paragraph" w:styleId="NormalWeb">
    <w:name w:val="Normal (Web)"/>
    <w:basedOn w:val="Normal"/>
    <w:qFormat/>
    <w:rsid w:val="0006300b"/>
    <w:pPr>
      <w:suppressAutoHyphens w:val="true"/>
      <w:spacing w:before="280" w:after="280"/>
    </w:pPr>
    <w:rPr>
      <w:rFonts w:eastAsia="Lucida Sans Unicode"/>
      <w:sz w:val="24"/>
      <w:szCs w:val="24"/>
    </w:rPr>
  </w:style>
  <w:style w:type="paragraph" w:styleId="Default" w:customStyle="1">
    <w:name w:val="Default"/>
    <w:qFormat/>
    <w:rsid w:val="008b5179"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NDKPJE+TimesNewRoman" w:hAnsi="NDKPJE+TimesNewRoman" w:eastAsia="Times New Roman" w:cs="NDKPJE+TimesNewRoman"/>
      <w:color w:val="000000"/>
      <w:kern w:val="2"/>
      <w:sz w:val="24"/>
      <w:szCs w:val="24"/>
      <w:lang w:eastAsia="pl-PL" w:val="pl-PL" w:bidi="hi-IN"/>
    </w:rPr>
  </w:style>
  <w:style w:type="paragraph" w:styleId="WWZawartotabeli1" w:customStyle="1">
    <w:name w:val="WW-Zawartość tabeli1"/>
    <w:basedOn w:val="Tretekstu"/>
    <w:qFormat/>
    <w:rsid w:val="001e169d"/>
    <w:pPr>
      <w:suppressLineNumbers/>
      <w:suppressAutoHyphens w:val="true"/>
    </w:pPr>
    <w:rPr>
      <w:rFonts w:eastAsia="Tahoma"/>
      <w:kern w:val="2"/>
      <w:sz w:val="24"/>
      <w:lang w:eastAsia="zh-CN"/>
    </w:rPr>
  </w:style>
  <w:style w:type="paragraph" w:styleId="WWZawartotabeli11" w:customStyle="1">
    <w:name w:val="WW-Zawartoœæ tabeli1"/>
    <w:basedOn w:val="Tretekstu"/>
    <w:qFormat/>
    <w:rsid w:val="001e169d"/>
    <w:pPr>
      <w:widowControl/>
      <w:suppressAutoHyphens w:val="true"/>
      <w:overflowPunct w:val="true"/>
      <w:textAlignment w:val="baseline"/>
    </w:pPr>
    <w:rPr>
      <w:kern w:val="2"/>
      <w:sz w:val="24"/>
      <w:lang w:eastAsia="zh-CN"/>
    </w:rPr>
  </w:style>
  <w:style w:type="paragraph" w:styleId="HTMLPreformatted">
    <w:name w:val="HTML Preformatted"/>
    <w:basedOn w:val="Normal"/>
    <w:link w:val="HTML-wstpniesformatowanyZnak"/>
    <w:qFormat/>
    <w:rsid w:val="00f35111"/>
    <w:pPr>
      <w:widowControl/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paragraph" w:styleId="Style101">
    <w:name w:val="Style10"/>
    <w:basedOn w:val="Normal"/>
    <w:qFormat/>
    <w:pPr>
      <w:widowControl w:val="false"/>
      <w:autoSpaceDE w:val="false"/>
      <w:jc w:val="center"/>
    </w:pPr>
    <w:rPr>
      <w:rFonts w:ascii="Trebuchet MS" w:hAnsi="Trebuchet MS" w:cs="Trebuchet MS"/>
    </w:rPr>
  </w:style>
  <w:style w:type="paragraph" w:styleId="Akapitzlist1">
    <w:name w:val="Akapit z listą1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agwek3">
    <w:name w:val="Nagłówek3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Application>LibreOffice/6.2.3.2$Windows_X86_64 LibreOffice_project/aecc05fe267cc68dde00352a451aa867b3b546ac</Application>
  <Pages>2</Pages>
  <Words>292</Words>
  <Characters>1691</Characters>
  <CharactersWithSpaces>2150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2017-08-17T06:56:00Z</dcterms:created>
  <dc:creator/>
  <dc:description/>
  <dc:language>pl-PL</dc:language>
  <cp:lastModifiedBy/>
  <dcterms:modified xsi:type="dcterms:W3CDTF">2019-10-02T07:39:38Z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