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5"/>
        <w:gridCol w:w="1693"/>
        <w:gridCol w:w="2703"/>
        <w:gridCol w:w="1558"/>
        <w:gridCol w:w="3403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Perymetr komputerowy</w:t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Promień czaszy pomiarowej: 30cm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 xml:space="preserve">Podświetlenie czaszy: </w:t>
              <w:br/>
              <w:t>- Białe 10asb (3,2 cd/m</w:t>
            </w:r>
            <w:r>
              <w:rPr>
                <w:rFonts w:eastAsia="Arial" w:cs="Calibri" w:ascii="Calibri" w:hAnsi="Calibri" w:asciiTheme="minorHAnsi" w:cstheme="minorHAnsi" w:hAnsiTheme="minorHAnsi"/>
                <w:position w:val="7"/>
                <w:sz w:val="24"/>
                <w:szCs w:val="24"/>
              </w:rPr>
              <w:t>2</w:t>
            </w: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) dla bodźca zielonego i czerwonego</w:t>
            </w:r>
            <w:bookmarkStart w:id="0" w:name="_GoBack"/>
            <w:bookmarkEnd w:id="0"/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br/>
              <w:t>- Białe 31.5asb (10 cd/m</w:t>
            </w:r>
            <w:r>
              <w:rPr>
                <w:rFonts w:eastAsia="Arial" w:cs="Calibri" w:ascii="Calibri" w:hAnsi="Calibri" w:asciiTheme="minorHAnsi" w:cstheme="minorHAnsi" w:hAnsiTheme="minorHAnsi"/>
                <w:position w:val="7"/>
                <w:sz w:val="24"/>
                <w:szCs w:val="24"/>
              </w:rPr>
              <w:t>2</w:t>
            </w: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) dla bodźca białego</w:t>
              <w:br/>
              <w:t>- Żółte 100 cd/m</w:t>
            </w:r>
            <w:r>
              <w:rPr>
                <w:rFonts w:eastAsia="Arial" w:cs="Calibri" w:ascii="Calibri" w:hAnsi="Calibri" w:asciiTheme="minorHAnsi" w:cstheme="minorHAnsi" w:hAnsiTheme="minorHAnsi"/>
                <w:position w:val="7"/>
                <w:sz w:val="24"/>
                <w:szCs w:val="24"/>
              </w:rPr>
              <w:t>2</w:t>
            </w: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 xml:space="preserve"> dla bodźca niebieskiego</w:t>
              <w:br/>
              <w:t>Automatyczna regulacja jasności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 xml:space="preserve">Jasność bodźca: 0.03asb do 10000asb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Zakres pomiarowy: +/-50°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Fiksatory: Centralny, odchylony o 30ş od centrum w teście dla kierowców, krzyżowy (dla ubytku w centrum pola widzenia)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Bodziec: Rozmiar Goldman I, II, III, IV, V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Kontrola fiksacji: Cyfrowe śledzenie oka, kontrola fiksacji metodą Hejli-Krakau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Podbródek: Regulowany elektrycznie w dwóch osiach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  <w:lang w:val="en-US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  <w:lang w:val="en-US"/>
              </w:rPr>
              <w:t>Strategie: 2 Zone, 3 Zone, Quantify Defect, Screening, Neurological, Fast Threshold, Threshold, Fastscan, Binocular, Fast Threshold Blue on Yellow, Threshold Blue on Yellow, Constant, Bi-Driving, Smart Treshold, Smart Treshold Blue on Yellow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 xml:space="preserve">Rodzaje testów statycznych (liczba testowanych punktów): Full 50° (165), Glaucoma 22°/50° (101), </w:t>
            </w:r>
          </w:p>
          <w:p>
            <w:pPr>
              <w:pStyle w:val="Normal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  <w:lang w:val="en-US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  <w:lang w:val="en-US"/>
              </w:rPr>
              <w:t>Central 30° (117), Central 22° (93), Wide 22°/30° (128), Peripheral 30° to 50° (72), Macula 10° (45), Driving 50°/80° (189)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Rodzaje testów kinetycznych: 30˚, 40˚, 50˚, 50˚/80°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Kąty meridian testów kinetycznych: 0˚ do 360˚ z krokiem 1˚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Rodzaje prezentacji wyników badania: wzgórze widzenia, odchylenie od normy wiekowej,  skala szarości, trójwymiarowe wzgórze pola widzenia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Wbudowany komputer PC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Zestaw na stoliku elektrycznym z blatem na dwa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Monitor dotykowy LCD o przekątnej min. 19”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Drukarka laserowa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2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Promień czaszy pomiarowej: 30cm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36 m-cy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Paszport techniczny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Deklaracja Zgodności, wpis lub zgłoszenie do Urzędu Rejestracji Wyrobów Medycznych.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1" w:name="_Hlk506288726"/>
      <w:bookmarkEnd w:id="1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NDKPJE+TimesNewRoman">
    <w:charset w:val="ee"/>
    <w:family w:val="roman"/>
    <w:pitch w:val="variable"/>
  </w:font>
  <w:font w:name="Trebuchet M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600f0"/>
    <w:pPr>
      <w:widowControl w:val="false"/>
      <w:kinsoku w:val="true"/>
      <w:overflowPunct w:val="fals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hi-IN"/>
    </w:rPr>
  </w:style>
  <w:style w:type="paragraph" w:styleId="Nagwek5">
    <w:name w:val="Heading 5"/>
    <w:basedOn w:val="Normal"/>
    <w:next w:val="Normal"/>
    <w:qFormat/>
    <w:pPr>
      <w:keepNext w:val="true"/>
      <w:ind w:left="0" w:right="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character" w:styleId="Absatz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kinsoku w:val="true"/>
      <w:overflowPunct w:val="false"/>
      <w:autoSpaceDE w:val="true"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2"/>
      <w:sz w:val="24"/>
      <w:szCs w:val="24"/>
      <w:lang w:val="pl-PL" w:eastAsia="pl-PL" w:bidi="hi-IN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false"/>
      <w:textAlignment w:val="baseline"/>
    </w:pPr>
    <w:rPr>
      <w:kern w:val="2"/>
      <w:sz w:val="24"/>
      <w:lang w:eastAsia="zh-CN"/>
    </w:rPr>
  </w:style>
  <w:style w:type="paragraph" w:styleId="Style101">
    <w:name w:val="Style10"/>
    <w:basedOn w:val="Normal"/>
    <w:qFormat/>
    <w:pPr>
      <w:widowControl w:val="false"/>
      <w:jc w:val="center"/>
    </w:pPr>
    <w:rPr>
      <w:rFonts w:ascii="Trebuchet MS" w:hAnsi="Trebuchet MS" w:cs="Trebuchet MS"/>
    </w:rPr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3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Application>LibreOffice/6.2.3.2$Windows_X86_64 LibreOffice_project/aecc05fe267cc68dde00352a451aa867b3b546ac</Application>
  <Pages>2</Pages>
  <Words>367</Words>
  <Characters>2173</Characters>
  <CharactersWithSpaces>2691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2019-10-02T09:35:30Z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