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23" w:type="dxa"/>
        <w:jc w:val="left"/>
        <w:tblInd w:w="4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66"/>
        <w:gridCol w:w="1693"/>
        <w:gridCol w:w="2702"/>
        <w:gridCol w:w="1559"/>
        <w:gridCol w:w="1"/>
        <w:gridCol w:w="3401"/>
      </w:tblGrid>
      <w:tr>
        <w:trPr>
          <w:trHeight w:val="284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  <w:u w:val="single"/>
              </w:rPr>
              <w:t>Aparat USG</w:t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36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7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14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406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1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PARAMETRY OFEROWANE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(wypełnia wykonawca)</w:t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Jednostka główna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Aparat fabrycznie nowy, nierekondycjonowany, na podstawie jezdnej, z centralną blokadą kół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Zakres częstotliwości pracy [MHz] 1,0 – 18,0 MHz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Technologia cyfrowa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Ilość niezależnych gniazd głowic obrazowych przełączanych elektronicznie, min. jedno gniazdo parkingowe – min.3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Monitor LCD, wielkość ekranu min. 21 cali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regulacji położenia i wysokości monitora niezależnie od panelu sterowania.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Ekran dotykowy, wielkość ekranu min. 12 cali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regulacji wysokości panelu sterowania niezależnie od korpusu aparatu, min 10 cm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obracania panelu starowania niezależnie od korpusu aparatu.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Podświetlenie panelu sterowania, min 3 kolory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Fizyczna regulacja TGC min 8 stref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nagrywania i odtwarzania dynamicznego obrazów (tzw. Cine loop)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Laserowo-optyczny trackball o wysokiej czułości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Ilość fizycznych kanałów przetwarzania, min 192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Wysuwana fizyczna klawiatura oraz klawiatura wyświetlana na ekranie dotykowym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Zintegrowany z aparatem systemu archiwizacji obrazów na dysku twardym z możliwością eksportowania na nośniki przenośne lub CD/DVD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Transmisja danych i obrazów w sieci komputerowej wg standardu DICOM 3.0 z WORKLIST, PRINT, STORAGE SERVICE CLASS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Zintegrowany dysk twardy HDD min 500 GB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Nastawy programowane dla aplikacji i głowic, tzw. „presety” – min. 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Drukarka termiczna (video) czarno – biała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  <w:br/>
              <w:t>Podać typ i producenta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Zintegrowany z aparatem podgrzewacz żelu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Tryb 2D (B-mode)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Maksymalna głębokość penetracji [cm] – min. 30 cm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Zakres bezstratnego powiększania obrazu rzeczywistego – min. 10x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Zakres bezstratnego powiększania obrazu zamrożonego, a także obrazu z pamięci CINE – min. 10x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Zakres dynamiki systemu – min. 200 dB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Częstotliwość odświeżania w trybie B-Mode – min. 800 klatek/s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Zastosowanie technologii optymalizującej obraz w trybie B-mode  w czasie rzeczywistym na poziomie preprocessingu.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Zastosowanie technologii obrazowania „nakładanego” przestrzennego wielokierunkowego (compounding) z możliwością wyboru powyżej 11 kierunków sterowania liniami obrazowymi.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Tryb obrazowania z poprawą rozdzielczości kontrastowej poprzez eliminację szumów plamek obrazów (speckle reduction)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Obrazowanie panoramiczne w czasie rzeczywistym na zaoferowanych głowicach na długości min. 100cm.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Podać długość w cm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Zastosowanie technologii eliminującej efekt przepływu w naczyniach celem optymalizacji wizualizacji naczyń.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 / Nie,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Tryb obrazowania Elastografii Tkanek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Technologia wizualizacji elastyczności tkanek w czasie rzeczywistym wykorzystująca metodę elastografii fali poprzecznej.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Kwantyfikacja w czasie rzeczywistym wykorzystująca metodę elastografii fali poprzecznej.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Tryb M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stosowania funkcji ZOOM w trybie 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Tryb spektralny Doppler Pulsacyjny (PWD)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Minimalny zakres pomiarowy prędkości przepływu – max. 0,2 cm/s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Maksymalna mierzona prędkość przepływu – min. 550 cm/s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Wielkość bramki Dopplerowskiej – min. 0,1-4 cm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Kąt korekcji kąta bramki Dopplerowskiej - min. 0 - 80</w:t>
            </w:r>
            <w:r>
              <w:rPr>
                <w:rFonts w:eastAsia="Symbol" w:cs="Symbol" w:ascii="Symbol" w:hAnsi="Symbol"/>
                <w:sz w:val="24"/>
                <w:szCs w:val="24"/>
              </w:rPr>
              <w:t>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Zastosowanie technologii optymalizującej spektrum w czasie rzeczywistym.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Tryb Doppler ciągłego (CWD)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Tryb tkankowego Dopplera pulsacyjnego i kolorowego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Tryb Doppler Kolorowy (CD)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Regulacja uchylności pola Dopplera Kolorowego - min 20 st. dla zaoferowanych głowic liniowych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Minimalny zakres pomiarowy prędkości przepływu - max. 0,1 cm/s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Maksymalna mierzona prędkość przepływu – min. 450 cm/s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Tryb angiologiczny (Doppler mocy)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Obrazowanie panoramiczne w trybie Dopplera kolorowego w czasie rzeczywistym na zaoferowanych głowicach na długości min. 100cm.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Obrazowanie harmoniczne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Obrazowanie harmoniczne na wszystkich zaoferowanych głowicach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Wykorzystanie techniki inwersji fazy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Oprogramowanie pomiarowe wraz z pakietem obliczeniowym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Oprogramowanie aplikacyjne i pomiarowe: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- małe narządy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- brzuszne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- naczyniowe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- ortopedyczne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- ginekologiczne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- położnicze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- urologiczne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- kardiologiczne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Liczba par kursorów pomiarowych – min. 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Pakiet obliczeń automatycznych dla Dopplera (automatyczny obrys spektrum)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Automatyczny obrys spektrum Dopplera w czasie rzeczywistym oraz na obrazie zamrożonym wraz z pakietem obliczeniowym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4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4"/>
                <w:szCs w:val="24"/>
              </w:rPr>
              <w:t>Głowica convex wieloczęstotliwościowa do badań jamy brzusznej wykonana w technologii  zapewniającej ogniskowanie wiązki akustycznej w dwóch płaszczyznach.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4"/>
                <w:szCs w:val="24"/>
              </w:rPr>
              <w:t xml:space="preserve">Podać typ </w:t>
              <w:br/>
              <w:t>i producenta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Zakres częstotliwości pracy przetwornika 1,0 MHz (+/-1 MHz) – 7,0 MHz (+/-1 MHz)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Kąt pola skanowania - min. 70</w:t>
            </w:r>
            <w:r>
              <w:rPr>
                <w:rFonts w:eastAsia="Symbol" w:cs="Symbol" w:ascii="Symbol" w:hAnsi="Symbol"/>
                <w:sz w:val="24"/>
                <w:szCs w:val="24"/>
              </w:rPr>
              <w:t>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Liczba elementów - min. 190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Praca w trybie II harmonicznej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4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4"/>
                <w:szCs w:val="24"/>
              </w:rPr>
              <w:t>Głowica liniowa wieloczęstotliwościowa do badań powierzchniowych i małych narządów.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4"/>
                <w:szCs w:val="24"/>
              </w:rPr>
              <w:t xml:space="preserve">Podać typ </w:t>
              <w:br/>
              <w:t>i producenta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Zakres częstotliwości pracy przetwornika 4,0 MHz (+/-2 MHz) – 19,0 MHz (+/-2 MHz)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Głowica wykonana w technologii wielorzędowej lub innej zapewniającej ogniskowanie wiązki ultradźwiękowej w dwóch płaszczyznach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Liczba elementów – min. 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Szerokość pola skanowania – min. 50mm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Praca w trybie II harmonicznej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Obrazowanie trapezowe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4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4"/>
                <w:szCs w:val="24"/>
              </w:rPr>
              <w:t>Głowica liniowa wieloczęstotliwościowa do badań powierzchniowych, małych narządów i  naczyniowych.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4"/>
                <w:szCs w:val="24"/>
              </w:rPr>
              <w:t xml:space="preserve">Podać typ </w:t>
              <w:br/>
              <w:t>i producenta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Zakres częstotliwości pracy przetwornika 4,0 MHz (+/-1 MHz) – 15,0 MHz (+/-2 MHz)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Głowica wykonana w technologii wielorzędowej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Liczba elementów – min. 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Szerokość pola skanowania - 40 mm (+/-1 mm)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podać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Praca w trybie II harmonicznej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Obrazowanie trapezowe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Możliwości rozbudowy systemu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Praca ze środkami kontrastującymi w trybie niskiego i wysokiego indeksu mechanicznego.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Głowica przezprzełykowa do badań kardiologicznych.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Obrazowanie 4D (3D w czasie rzeczywistym) z głowic objętościowych (tzw. volumetrycznych) oraz obrazowanie 3D z zaoferowanych głowic.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Zastosowanie głowicy śródoperacyjnej liniowej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Oprogramowanie kardiologiczne z pakietem obliczeniowym i Dopplerem ciągłym pod kontrolą obrazu z głowicy sektorowej elektronicznej.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Tryb przeglądania umożliwiający przenoszenie zarchiwizowanych danych obrazowych pacjenta do aparatu USG (poprzez zewnętrzny dysk twardy HDD, pamięć typu flash USB, płyta CD/DVD, sieć PACS) uzyskanych w innych technikach diagnostyki obrazowej: z tomografii komputerowej CT, rezonansu magnetycznego MRI, mammografu, innego aparatu USG i jednoczesnym wyświetlaniu obok w czasie rzeczywistym obrazu USG. Możliwość przeglądania na aparacie USG wgranych danych. Możliwość wyboru dowolnej warstwy z wgranych danych z CT/MRI celem porównania z aktualnie wyświetlanym obrazem 2D z USG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Dynamiczna metoda 2D służąca do wizualizacji, pomiaru i wyświetlania globalnych i lokalnych ruchów mięśnia sercowego i jego mechaniki tzw. Strain Rate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Moduł do automatycznego pomiaru frakcji wyrzutowej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 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Pakiet do automatycznej detekcji i pomiaru zmian ogniskowych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Tryb obrazowania Fuzja obrazów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Automatyczne pomiary położnicze min. CRL, BPD, HC, AC, HL i FL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cstheme="minorHAnsi"/>
                <w:b/>
                <w:sz w:val="24"/>
                <w:szCs w:val="24"/>
                <w:lang w:eastAsia="zh-CN"/>
              </w:rPr>
              <w:t>Inne wymagania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Wbudowane zasilanie awaryjne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Tak, opisać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Podłączenie aparatu do informatycznych systemów szpitalnych PACS/RIS i AMMS w cenie oferty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rPr>
                <w:rFonts w:ascii="Calibri" w:hAnsi="Calibri" w:cs="Calibri" w:asciiTheme="minorHAnsi" w:cstheme="minorHAnsi" w:hAnsiTheme="minorHAnsi"/>
                <w:color w:val="00000A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Instrukcja obsługi w języku polskim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 xml:space="preserve">Certyfikaty dopuszczenia do stosowania w medycynie: polskie oraz międzynarodowe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Oryginalne materiały techniczne producenta potwierdzające parametry wpisane do tabeli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Montaż i uruchomienie urządzenia w cenie oferty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Szkolenie obsługi w cenie urządzeń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Dostarczenie paszportu technicznego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 xml:space="preserve">Szkolenie serwisowe dla personelu technicznego w siedzibie Zamawiającego w cenie urządzeń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Warunki gwarancji i serwisu</w:t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Gwarancja min. 36 m-cy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Tahoma" w:cs="Calibri" w:ascii="Calibri" w:hAnsi="Calibri" w:asciiTheme="minorHAnsi" w:cstheme="minorHAnsi" w:hAnsiTheme="minorHAns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ind w:right="144" w:hanging="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szCs w:val="24"/>
              </w:rPr>
              <w:t>Zapewniony serwis pogwarancyjny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54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Okres zagwarantowania dostępności części  zamiennych minimum 10 lat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Montaż, uruchomienie i szkolenie obsługi w cenie urządzenia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Instrukcja obsługi w języku polskim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miejscowość, data</w:t>
      </w:r>
    </w:p>
    <w:p>
      <w:pPr>
        <w:pStyle w:val="Normal"/>
        <w:ind w:left="5103" w:hanging="5103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>
      <w:pPr>
        <w:pStyle w:val="Normal"/>
        <w:ind w:left="5103" w:hanging="5103"/>
        <w:rPr/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podpis i pieczęć wykonawc</w:t>
      </w:r>
      <w:bookmarkStart w:id="0" w:name="_Hlk506288726"/>
      <w:bookmarkEnd w:id="0"/>
      <w:r>
        <w:rPr>
          <w:rFonts w:cs="Calibri" w:ascii="Calibri" w:hAnsi="Calibri" w:asciiTheme="minorHAnsi" w:cstheme="minorHAnsi" w:hAnsiTheme="minorHAnsi"/>
          <w:sz w:val="24"/>
          <w:szCs w:val="24"/>
        </w:rPr>
        <w:t>y</w:t>
      </w:r>
    </w:p>
    <w:sectPr>
      <w:type w:val="nextPage"/>
      <w:pgSz w:w="11906" w:h="16838"/>
      <w:pgMar w:left="1080" w:right="108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  <w:font w:name="NDKPJE+TimesNewRoman">
    <w:charset w:val="ee"/>
    <w:family w:val="roman"/>
    <w:pitch w:val="variable"/>
  </w:font>
  <w:font w:name="Calibri">
    <w:charset w:val="02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600f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paragraph" w:styleId="Nagwek2">
    <w:name w:val="Heading 2"/>
    <w:basedOn w:val="Normal"/>
    <w:next w:val="Tretekstu"/>
    <w:link w:val="Nagwek2Znak"/>
    <w:qFormat/>
    <w:rsid w:val="0087753a"/>
    <w:pPr>
      <w:keepNext w:val="true"/>
      <w:keepLines/>
      <w:widowControl/>
      <w:spacing w:before="160" w:after="120"/>
      <w:outlineLvl w:val="1"/>
    </w:pPr>
    <w:rPr>
      <w:rFonts w:ascii="Arial" w:hAnsi="Arial"/>
      <w:b/>
      <w:i/>
      <w:kern w:val="2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9600f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1e169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2Znak" w:customStyle="1">
    <w:name w:val="Nagłówek 2 Znak"/>
    <w:basedOn w:val="DefaultParagraphFont"/>
    <w:link w:val="Nagwek2"/>
    <w:qFormat/>
    <w:rsid w:val="0087753a"/>
    <w:rPr>
      <w:rFonts w:ascii="Arial" w:hAnsi="Arial" w:eastAsia="Times New Roman" w:cs="Times New Roman"/>
      <w:b/>
      <w:i/>
      <w:kern w:val="2"/>
      <w:sz w:val="28"/>
      <w:szCs w:val="20"/>
      <w:lang w:eastAsia="pl-PL"/>
    </w:rPr>
  </w:style>
  <w:style w:type="character" w:styleId="ListLabel1">
    <w:name w:val="ListLabel 1"/>
    <w:qFormat/>
    <w:rPr>
      <w:rFonts w:eastAsia="Times New Roman" w:cs="Aria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1e169d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Stopka">
    <w:name w:val="Footer"/>
    <w:basedOn w:val="Normal"/>
    <w:link w:val="StopkaZnak"/>
    <w:rsid w:val="009600f0"/>
    <w:pPr>
      <w:widowControl/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600f0"/>
    <w:pPr>
      <w:widowControl/>
      <w:spacing w:before="0" w:after="0"/>
      <w:ind w:left="720" w:hanging="0"/>
      <w:contextualSpacing/>
    </w:pPr>
    <w:rPr>
      <w:rFonts w:ascii="Verdana" w:hAnsi="Verdana"/>
      <w:sz w:val="22"/>
    </w:rPr>
  </w:style>
  <w:style w:type="paragraph" w:styleId="NoSpacing">
    <w:name w:val="No Spacing"/>
    <w:basedOn w:val="Normal"/>
    <w:uiPriority w:val="1"/>
    <w:qFormat/>
    <w:rsid w:val="004c2b2d"/>
    <w:pPr>
      <w:widowControl/>
    </w:pPr>
    <w:rPr>
      <w:rFonts w:ascii="Calibri" w:hAnsi="Calibri" w:eastAsia="Calibri" w:cs="Calibri" w:eastAsiaTheme="minorHAnsi"/>
      <w:sz w:val="22"/>
      <w:szCs w:val="22"/>
    </w:rPr>
  </w:style>
  <w:style w:type="paragraph" w:styleId="NormalWeb">
    <w:name w:val="Normal (Web)"/>
    <w:basedOn w:val="Normal"/>
    <w:qFormat/>
    <w:rsid w:val="0006300b"/>
    <w:pPr>
      <w:suppressAutoHyphens w:val="true"/>
      <w:spacing w:before="280" w:after="280"/>
    </w:pPr>
    <w:rPr>
      <w:rFonts w:eastAsia="Lucida Sans Unicode"/>
      <w:sz w:val="24"/>
      <w:szCs w:val="24"/>
    </w:rPr>
  </w:style>
  <w:style w:type="paragraph" w:styleId="Default" w:customStyle="1">
    <w:name w:val="Default"/>
    <w:qFormat/>
    <w:rsid w:val="008b5179"/>
    <w:pPr>
      <w:widowControl/>
      <w:bidi w:val="0"/>
      <w:spacing w:lineRule="auto" w:line="240" w:before="0" w:after="0"/>
      <w:jc w:val="left"/>
    </w:pPr>
    <w:rPr>
      <w:rFonts w:ascii="NDKPJE+TimesNewRoman" w:hAnsi="NDKPJE+TimesNewRoman" w:eastAsia="Times New Roman" w:cs="NDKPJE+TimesNewRoman"/>
      <w:color w:val="000000"/>
      <w:kern w:val="0"/>
      <w:sz w:val="24"/>
      <w:szCs w:val="24"/>
      <w:lang w:eastAsia="pl-PL" w:val="pl-PL" w:bidi="ar-SA"/>
    </w:rPr>
  </w:style>
  <w:style w:type="paragraph" w:styleId="WWZawartotabeli1" w:customStyle="1">
    <w:name w:val="WW-Zawartość tabeli1"/>
    <w:basedOn w:val="Tretekstu"/>
    <w:qFormat/>
    <w:rsid w:val="001e169d"/>
    <w:pPr>
      <w:suppressLineNumbers/>
      <w:suppressAutoHyphens w:val="true"/>
    </w:pPr>
    <w:rPr>
      <w:rFonts w:eastAsia="Tahoma"/>
      <w:kern w:val="2"/>
      <w:sz w:val="24"/>
      <w:lang w:eastAsia="zh-CN"/>
    </w:rPr>
  </w:style>
  <w:style w:type="paragraph" w:styleId="WWZawartotabeli11" w:customStyle="1">
    <w:name w:val="WW-Zawartoœæ tabeli1"/>
    <w:basedOn w:val="Tretekstu"/>
    <w:qFormat/>
    <w:rsid w:val="001e169d"/>
    <w:pPr>
      <w:widowControl/>
      <w:suppressAutoHyphens w:val="true"/>
      <w:overflowPunct w:val="true"/>
      <w:textAlignment w:val="baseline"/>
    </w:pPr>
    <w:rPr>
      <w:kern w:val="2"/>
      <w:sz w:val="24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Application>LibreOffice/6.2.3.2$Windows_X86_64 LibreOffice_project/aecc05fe267cc68dde00352a451aa867b3b546ac</Application>
  <Pages>6</Pages>
  <Words>1229</Words>
  <Characters>7666</Characters>
  <CharactersWithSpaces>8845</CharactersWithSpaces>
  <Paragraphs>323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2017-08-17T06:56:00Z</dcterms:created>
  <dc:creator/>
  <dc:description/>
  <dc:language>pl-PL</dc:language>
  <cp:lastModifiedBy/>
  <dcterms:modified xsi:type="dcterms:W3CDTF">2019-10-04T09:28:56Z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