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D3388B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FD70A1" w:rsidP="00861E26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u w:val="single"/>
              </w:rPr>
            </w:pPr>
            <w:bookmarkStart w:id="0" w:name="_Hlk506288726"/>
            <w:r w:rsidRPr="00D3388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u w:val="single"/>
              </w:rPr>
              <w:t>Videodermatoskop z wyposażeniem</w:t>
            </w:r>
          </w:p>
        </w:tc>
      </w:tr>
      <w:tr w:rsidR="009600F0" w:rsidRPr="00D3388B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D3388B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600F0" w:rsidRPr="00D3388B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D3388B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600F0" w:rsidRPr="00D3388B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D3388B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</w:p>
        </w:tc>
      </w:tr>
      <w:tr w:rsidR="009600F0" w:rsidRPr="00D3388B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D3388B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600F0" w:rsidRPr="00D3388B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Rok produkcji:  201</w:t>
            </w:r>
            <w:r w:rsidR="0028456A" w:rsidRPr="00D3388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D3388B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9600F0" w:rsidRPr="00D3388B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D3388B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PARAMETRY OFEROWANE</w:t>
            </w:r>
          </w:p>
          <w:p w:rsidR="001D299B" w:rsidRPr="00D3388B" w:rsidRDefault="001D299B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 w:rsidR="00D3388B" w:rsidRPr="00D3388B" w:rsidTr="00BA3053">
        <w:trPr>
          <w:trHeight w:val="201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Opis funkcjonalności kamery videodermatoskopowej</w:t>
            </w: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Rozdzielczość kamery min. 3096x2080 pikseli (&gt;6MPx)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Rozdzielczość optyczna (grubość linii, którą jest w stanie zarejestrować kamera) &lt;12,5μm w poziomie i &lt;25μm w pionie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Powiększenie od 15x do 200x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Waga kamery max. 550g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Stałe ustawienie ostrości w trybie zdjęć dermatoskopowych z możliwością korekcji przyciskami na kamerze, w celu zapewnienia powtarzalności wykonywanych zdjęć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Kamera z automatycznym ustawieniem ostrości w trybie obrazu klinicznego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Kamera bez dostępu światła innego niż wbudowane w kamerę, w celu zapewnienia powtarzalności wykonywanych zdjęć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wykonania zdjęć dermatoskopowych i klinicznych tą samą kamerą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Kamera standardowo wyposażona w adapter duży, oraz mały do miejsc trudnodostępnych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Kamera z wyposażona w diodowe oświetlenie pierścieniowe, diody UV do diagnostyki fotodynamicznej (opcjonalne oprogramowanie aktywujące funkcję)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Opcjonalna możliwość użycia dedykowanych wymienialnych adapterów (np.. mały i duży - w zakresie dostawy)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użycia światła spolaryzowanego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doposażenia w system fotografii klinicznych całego ciała z aparatem na ruchomej szynie, zintegrowany z oprogramowaniem videodermatoskopowym.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Źródło światła wbudowane w kamerę, nie wymagające dodatkowego zasilania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Regulacja powiększenia w rękojeści kamery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Dodatkowy wyświetlacz dotykowy wbudowany w kamerę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przechodzenia pomiędzy markerami (znacznikami znamion) z rękojeści kamery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przełączania między modułami oprogramowania za pomocą przycisków na kamerze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 wyposażeniu wideodermatoskopu lupa diagnostyczna z soczewką achromatyczną o średnicy min. 93 mm, ze światłem spolaryzowanym i UV, waga maks. 350 g, stacja do ładowania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A51CBD">
        <w:trPr>
          <w:trHeight w:val="201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Opis funkcjonalności stacji komputerowej</w:t>
            </w: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Procesor: Intel©CoreTM i5, 2.4 GHz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Pamięć RAM: min. 8 RAM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Monitor graficzny LCD 23,8”, rozdzielczość 1920x1080 pikseli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Drugi monitor graficzny dotykowy LCD 23,8”, rozdzielczość 1920x1080 pikseli, na jednym uchwycie umieszczony pod pierwszym monitorem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Dysk SSD minimum 480 GB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 wolne porty USB 2.0, 2 porty USB 3.0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System operacyjn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: Windows© 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podłączenia do internetu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Dodatkowe: Klawiatura, mysz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Na wyposażeniu dedykowany wózek z uchwytem do kamery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</w:t>
            </w: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ideodermatoskopowej, wytłoczeniem na dedykowane adptery na wierzchu, miejscem na akcesoria i mieszczący pełnowymiarową klawiaturę QWERTY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instalacji systemu na ścianie (z uchwytem ściennym na kamerę)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instalacji systemu na biurku (z podstawką biurkową)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CD0DC4">
        <w:trPr>
          <w:trHeight w:val="201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Funkcje oprogramowania</w:t>
            </w: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Oprogramowanie videodermatoskopu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Podgląd obrazu „na żywo” na ekranie monitora komputerowego, oraz na wyświetlaczu kamery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zapisania, odrzucenia zdjęcia lub wykonania analizy znamienia bezpośrednio za pomocą przycisków na kamerze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Możliwość przypisania lokalizacji znamienia bezpośrednio na wyświetlaczu dotykowym wbudowanym w kamerę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Wykonywanie zdjęć za pomocą przycisku na ekranie monitora lub przycisku w głowicy kamery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Przełączanie pomiędzy trybami makro i mikro bez konieczności zmiany/zdjęcia adaptera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Program wyposażony w zarządzanie bazą danych pacjentów, przechowującą podstawowe dane personalne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Moduł porównywania obrazów z wcześniejszych wizyt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Funkcja mapowania makroskopowych zdjęć klinicznych pozwalająca na przypisanie dowolnej (ustawianej w programie) ilości zdjęć mikro, każdej zmianie zaznaczonej na zdjęciu makro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Pełna i</w:t>
            </w: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ntegracj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z oprogramowaniem do obsługi pacjentów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u Zamawiającego </w:t>
            </w:r>
            <w:bookmarkStart w:id="1" w:name="_GoBack"/>
            <w:bookmarkEnd w:id="1"/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 za pomocą protokołów HL7, GDT i DICOM)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Funkcja przypisania min 6 różnych kryteriów oceny do znamienia (np. podejrzane, do wycięcia, łagodne) zaznaczonych różnymi kolorami na miniaturze i znaczniku znamienia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Funkcja importu zdjęć do programu z zewnętrznych nośników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Funkcja kreatora raportów z komentarzami tekstowymi oraz raportów wizyt z danymi kontaktowymi praktyki lekarskiej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Funkcja nagrywania pozyskanych zdjęć na nośnik zewnętrzny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Moduł analizy znamion analizujący znamiona, umożliwiający automatyczną analizę wraz liczeniem powierzchni zmiany, obwodu, przekątnych i kolorową wizualizację asymetrii w zakresie dostawy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Opcjonalne oprogramowanie do analizy włosów (trichoscan)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Certyfikat CE na videodermatoskop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Możlowość pracy z dwoma monitorami (obraz dermatoskopowy wyświetlany na jednym monitorze, a lokalizacja zmiany na drugim)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Elektroniczna Instrukcja Obsługi wgrana w videodermatoskop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Posiada znak zgodności CE, deklaracji zgodności, paszport techniczny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Autoryzacja producenta na serwis i sprzedaż zaoferowanego videodermatoskopu na terenie Polski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Zapewnienie części zamiennych przez okres min. 10 lat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Bezpłatne szkolenie personelu medycznego w zakresie obsługi videodermatoskopu.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Instalacja i uruchomienie videodermatoskopu w siedzibie zamawiającego.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Bezpłatny serwis videodermatoskopu obejmujący koszt typowych materiałów zużywalnych i eksploatacyjnych, które ulęgają normalnemu zużyciu, przeglądy o częstotliwości wymaganej przez producenta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5F724C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8B" w:rsidRPr="00D3388B" w:rsidRDefault="00D3388B" w:rsidP="00D338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88B">
              <w:rPr>
                <w:rFonts w:asciiTheme="minorHAnsi" w:hAnsiTheme="minorHAnsi" w:cstheme="minorHAnsi"/>
                <w:sz w:val="24"/>
                <w:szCs w:val="24"/>
              </w:rPr>
              <w:t>Gwarancja min. 24 m-cy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88B" w:rsidRPr="00D3388B" w:rsidTr="001E169D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8B" w:rsidRPr="00D3388B" w:rsidRDefault="00D3388B" w:rsidP="00D3388B">
            <w:pPr>
              <w:tabs>
                <w:tab w:val="left" w:pos="1160"/>
              </w:tabs>
              <w:snapToGrid w:val="0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D3388B">
              <w:rPr>
                <w:rFonts w:asciiTheme="minorHAnsi" w:eastAsia="Tahoma" w:hAnsiTheme="minorHAnsi" w:cs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88B" w:rsidRPr="00D3388B" w:rsidRDefault="00D3388B" w:rsidP="00D3388B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D299B" w:rsidRPr="00D3388B" w:rsidRDefault="001D299B" w:rsidP="001D299B">
      <w:pPr>
        <w:rPr>
          <w:rFonts w:asciiTheme="minorHAnsi" w:hAnsiTheme="minorHAnsi" w:cstheme="minorHAnsi"/>
          <w:sz w:val="24"/>
          <w:szCs w:val="24"/>
        </w:rPr>
      </w:pPr>
    </w:p>
    <w:p w:rsidR="001D299B" w:rsidRPr="00D3388B" w:rsidRDefault="001D299B" w:rsidP="001D299B">
      <w:pPr>
        <w:rPr>
          <w:rFonts w:asciiTheme="minorHAnsi" w:hAnsiTheme="minorHAnsi" w:cstheme="minorHAnsi"/>
          <w:sz w:val="24"/>
          <w:szCs w:val="24"/>
        </w:rPr>
      </w:pPr>
    </w:p>
    <w:p w:rsidR="001D299B" w:rsidRPr="00D3388B" w:rsidRDefault="001D299B" w:rsidP="001D299B">
      <w:pPr>
        <w:rPr>
          <w:rFonts w:asciiTheme="minorHAnsi" w:hAnsiTheme="minorHAnsi" w:cstheme="minorHAnsi"/>
          <w:sz w:val="24"/>
          <w:szCs w:val="24"/>
        </w:rPr>
      </w:pPr>
      <w:r w:rsidRPr="00D3388B"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:rsidR="001D299B" w:rsidRPr="00D3388B" w:rsidRDefault="001D299B" w:rsidP="001D299B">
      <w:pPr>
        <w:rPr>
          <w:rFonts w:asciiTheme="minorHAnsi" w:hAnsiTheme="minorHAnsi" w:cstheme="minorHAnsi"/>
          <w:sz w:val="24"/>
          <w:szCs w:val="24"/>
        </w:rPr>
      </w:pPr>
      <w:r w:rsidRPr="00D3388B">
        <w:rPr>
          <w:rFonts w:asciiTheme="minorHAnsi" w:hAnsiTheme="minorHAnsi" w:cstheme="minorHAnsi"/>
          <w:sz w:val="24"/>
          <w:szCs w:val="24"/>
        </w:rPr>
        <w:t>miejscowość, data</w:t>
      </w:r>
    </w:p>
    <w:p w:rsidR="001D299B" w:rsidRPr="00D3388B" w:rsidRDefault="001D299B" w:rsidP="001D299B">
      <w:pPr>
        <w:ind w:left="5103" w:hanging="5103"/>
        <w:rPr>
          <w:rFonts w:asciiTheme="minorHAnsi" w:hAnsiTheme="minorHAnsi" w:cstheme="minorHAnsi"/>
          <w:sz w:val="24"/>
          <w:szCs w:val="24"/>
        </w:rPr>
      </w:pPr>
      <w:r w:rsidRPr="00D3388B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018EF" w:rsidRPr="00D3388B" w:rsidRDefault="001D299B" w:rsidP="005F724C">
      <w:pPr>
        <w:ind w:left="5103" w:hanging="5103"/>
        <w:rPr>
          <w:rFonts w:asciiTheme="minorHAnsi" w:hAnsiTheme="minorHAnsi" w:cstheme="minorHAnsi"/>
          <w:sz w:val="24"/>
          <w:szCs w:val="24"/>
        </w:rPr>
      </w:pPr>
      <w:r w:rsidRPr="00D3388B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podpis i pieczęć wykonawc</w:t>
      </w:r>
      <w:bookmarkEnd w:id="0"/>
      <w:r w:rsidR="005F724C" w:rsidRPr="00D3388B">
        <w:rPr>
          <w:rFonts w:asciiTheme="minorHAnsi" w:hAnsiTheme="minorHAnsi" w:cstheme="minorHAnsi"/>
          <w:sz w:val="24"/>
          <w:szCs w:val="24"/>
        </w:rPr>
        <w:t>y</w:t>
      </w:r>
    </w:p>
    <w:sectPr w:rsidR="00F018EF" w:rsidRPr="00D3388B" w:rsidSect="005F724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DKPJ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E8A"/>
    <w:multiLevelType w:val="hybridMultilevel"/>
    <w:tmpl w:val="FDC05EC8"/>
    <w:lvl w:ilvl="0" w:tplc="7312DCC4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1AF7190"/>
    <w:multiLevelType w:val="hybridMultilevel"/>
    <w:tmpl w:val="FF064CF4"/>
    <w:lvl w:ilvl="0" w:tplc="929A9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097F"/>
    <w:rsid w:val="000418C6"/>
    <w:rsid w:val="00046215"/>
    <w:rsid w:val="00046328"/>
    <w:rsid w:val="00056A51"/>
    <w:rsid w:val="000570E7"/>
    <w:rsid w:val="0006300B"/>
    <w:rsid w:val="00065040"/>
    <w:rsid w:val="00070ACB"/>
    <w:rsid w:val="00070AEE"/>
    <w:rsid w:val="000725C7"/>
    <w:rsid w:val="00075B41"/>
    <w:rsid w:val="000768B9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752"/>
    <w:rsid w:val="000C07FA"/>
    <w:rsid w:val="000C2137"/>
    <w:rsid w:val="000C28F7"/>
    <w:rsid w:val="000C2F21"/>
    <w:rsid w:val="000E15BA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0E1D"/>
    <w:rsid w:val="001B1BF5"/>
    <w:rsid w:val="001B6EE2"/>
    <w:rsid w:val="001B6FB2"/>
    <w:rsid w:val="001C08AD"/>
    <w:rsid w:val="001C2ED2"/>
    <w:rsid w:val="001C6039"/>
    <w:rsid w:val="001C6FB6"/>
    <w:rsid w:val="001D16ED"/>
    <w:rsid w:val="001D299B"/>
    <w:rsid w:val="001E169D"/>
    <w:rsid w:val="001E2235"/>
    <w:rsid w:val="001E48FE"/>
    <w:rsid w:val="001E4C28"/>
    <w:rsid w:val="001E794A"/>
    <w:rsid w:val="001F14F9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8456A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081"/>
    <w:rsid w:val="002B1688"/>
    <w:rsid w:val="002B1F87"/>
    <w:rsid w:val="002B2A71"/>
    <w:rsid w:val="002C2470"/>
    <w:rsid w:val="002C5FB2"/>
    <w:rsid w:val="002C706E"/>
    <w:rsid w:val="002C7168"/>
    <w:rsid w:val="002D344F"/>
    <w:rsid w:val="002D77A0"/>
    <w:rsid w:val="002D7905"/>
    <w:rsid w:val="002E06E2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0474"/>
    <w:rsid w:val="003C510A"/>
    <w:rsid w:val="003D234D"/>
    <w:rsid w:val="003D2BC5"/>
    <w:rsid w:val="003E3C5A"/>
    <w:rsid w:val="003E5387"/>
    <w:rsid w:val="003E55D4"/>
    <w:rsid w:val="003E6C13"/>
    <w:rsid w:val="003E6CE1"/>
    <w:rsid w:val="003F11EC"/>
    <w:rsid w:val="003F1F06"/>
    <w:rsid w:val="003F3CA1"/>
    <w:rsid w:val="003F464A"/>
    <w:rsid w:val="003F48F7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4937"/>
    <w:rsid w:val="00431623"/>
    <w:rsid w:val="0043437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6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1F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24C"/>
    <w:rsid w:val="005F775C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0E8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B3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BFF"/>
    <w:rsid w:val="007D1DFD"/>
    <w:rsid w:val="007D3715"/>
    <w:rsid w:val="007D429F"/>
    <w:rsid w:val="007D4B02"/>
    <w:rsid w:val="007D5990"/>
    <w:rsid w:val="007D7412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5206"/>
    <w:rsid w:val="00827F12"/>
    <w:rsid w:val="00831049"/>
    <w:rsid w:val="00831467"/>
    <w:rsid w:val="00831951"/>
    <w:rsid w:val="00832556"/>
    <w:rsid w:val="00834ECE"/>
    <w:rsid w:val="00837323"/>
    <w:rsid w:val="008479C3"/>
    <w:rsid w:val="008519EB"/>
    <w:rsid w:val="00852A2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B5179"/>
    <w:rsid w:val="008C02A7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876"/>
    <w:rsid w:val="00994B8A"/>
    <w:rsid w:val="00996049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D6FF3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6C3E"/>
    <w:rsid w:val="00D17FC6"/>
    <w:rsid w:val="00D20EB6"/>
    <w:rsid w:val="00D21F03"/>
    <w:rsid w:val="00D22814"/>
    <w:rsid w:val="00D23E8A"/>
    <w:rsid w:val="00D2408F"/>
    <w:rsid w:val="00D315F2"/>
    <w:rsid w:val="00D32F43"/>
    <w:rsid w:val="00D3388B"/>
    <w:rsid w:val="00D34DEA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2A4C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6163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1D8B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50F9"/>
    <w:rsid w:val="00F460D6"/>
    <w:rsid w:val="00F47890"/>
    <w:rsid w:val="00F53CDE"/>
    <w:rsid w:val="00F56599"/>
    <w:rsid w:val="00F6173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D70A1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5285"/>
  <w15:docId w15:val="{628E1247-8323-4A52-98BD-CE5B582D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styleId="NormalnyWeb">
    <w:name w:val="Normal (Web)"/>
    <w:basedOn w:val="Normalny"/>
    <w:rsid w:val="0006300B"/>
    <w:pPr>
      <w:suppressAutoHyphens/>
      <w:autoSpaceDE/>
      <w:autoSpaceDN/>
      <w:adjustRightInd/>
      <w:spacing w:before="280" w:after="280"/>
    </w:pPr>
    <w:rPr>
      <w:rFonts w:eastAsia="Lucida Sans Unicode"/>
      <w:sz w:val="24"/>
      <w:szCs w:val="24"/>
    </w:rPr>
  </w:style>
  <w:style w:type="paragraph" w:customStyle="1" w:styleId="Default">
    <w:name w:val="Default"/>
    <w:rsid w:val="008B5179"/>
    <w:pPr>
      <w:autoSpaceDE w:val="0"/>
      <w:autoSpaceDN w:val="0"/>
      <w:adjustRightInd w:val="0"/>
      <w:spacing w:after="0" w:line="240" w:lineRule="auto"/>
    </w:pPr>
    <w:rPr>
      <w:rFonts w:ascii="NDKPJE+TimesNewRoman" w:eastAsia="Times New Roman" w:hAnsi="NDKPJE+TimesNewRoman" w:cs="NDKPJE+TimesNewRoman"/>
      <w:color w:val="000000"/>
      <w:sz w:val="24"/>
      <w:szCs w:val="24"/>
      <w:lang w:eastAsia="pl-PL"/>
    </w:rPr>
  </w:style>
  <w:style w:type="paragraph" w:customStyle="1" w:styleId="WW-Zawartotabeli1">
    <w:name w:val="WW-Zawartość tabeli1"/>
    <w:basedOn w:val="Tekstpodstawowy"/>
    <w:rsid w:val="001E169D"/>
    <w:pPr>
      <w:suppressLineNumbers/>
      <w:suppressAutoHyphens/>
      <w:autoSpaceDE/>
      <w:autoSpaceDN/>
      <w:adjustRightInd/>
    </w:pPr>
    <w:rPr>
      <w:rFonts w:eastAsia="Tahoma"/>
      <w:kern w:val="2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6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1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Zawartotabeli10">
    <w:name w:val="WW-Zawartoœæ tabeli1"/>
    <w:basedOn w:val="Tekstpodstawowy"/>
    <w:rsid w:val="001E169D"/>
    <w:pPr>
      <w:widowControl/>
      <w:suppressAutoHyphens/>
      <w:overflowPunct w:val="0"/>
      <w:autoSpaceDN/>
      <w:adjustRightInd/>
      <w:textAlignment w:val="baseline"/>
    </w:pPr>
    <w:rPr>
      <w:kern w:val="2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18</cp:revision>
  <dcterms:created xsi:type="dcterms:W3CDTF">2017-08-17T06:56:00Z</dcterms:created>
  <dcterms:modified xsi:type="dcterms:W3CDTF">2019-10-02T05:17:00Z</dcterms:modified>
</cp:coreProperties>
</file>