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23" w:type="dxa"/>
        <w:jc w:val="left"/>
        <w:tblInd w:w="4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566"/>
        <w:gridCol w:w="1693"/>
        <w:gridCol w:w="2702"/>
        <w:gridCol w:w="1559"/>
        <w:gridCol w:w="3402"/>
      </w:tblGrid>
      <w:tr>
        <w:trPr>
          <w:trHeight w:val="284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  <w:u w:val="single"/>
              </w:rPr>
              <w:t>Autokeratorefr</w:t>
            </w:r>
            <w:bookmarkStart w:id="0" w:name="_GoBack"/>
            <w:bookmarkEnd w:id="0"/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  <w:u w:val="single"/>
              </w:rPr>
              <w:t>aktometr</w:t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36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7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14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Rok produkcji:  2019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b/>
                <w:color w:val="000000"/>
                <w:sz w:val="24"/>
                <w:szCs w:val="24"/>
              </w:rPr>
            </w:r>
          </w:p>
        </w:tc>
      </w:tr>
      <w:tr>
        <w:trPr>
          <w:trHeight w:val="406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1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WYMAGANE PARAMETRY              I WARUNKI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PARAMETRY OFEROWANE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(wypełnia wykonawca)</w:t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57" w:after="57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Wszystkie ruchy główne głowicy sterowane joystickiem.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57" w:after="57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Monitor kolorowy LCD, dotykowy o przekątnej 8,5”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57" w:after="57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Minimalna średnica źrenicy 2 mm.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57" w:after="57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Zakres pomiaru refrakcji sfery od -25D do +22D, z dokładnością 0,12D i 0,25D.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57" w:after="0"/>
              <w:rPr>
                <w:rFonts w:ascii="Calibri" w:hAnsi="Calibri" w:eastAsia="Arial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 xml:space="preserve">Zakres pomiaru cylindra od -10D do +10D, z dokładnością 0,12D i 0,25D. </w:t>
            </w:r>
          </w:p>
          <w:p>
            <w:pPr>
              <w:pStyle w:val="Normal"/>
              <w:snapToGrid w:val="false"/>
              <w:spacing w:before="0" w:after="57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 xml:space="preserve">Pomiar osi cylindra od 0 do 180 stopni co 1 stopień.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57" w:after="57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 xml:space="preserve">Możliwość przedstawienia wyniku dla soczewki oddalonej (pomiar od jej tylnej powierzchni) od szczytu rogówki (VD) w odległości 0mm, 12,00mm, 13,75mm.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57" w:after="57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Pojedynczy pomiar refrakcji realizowany poprzez skanowanie układu optycznego oka wiązką w kształcie okręgu, w obszarze większym niż wielkość kołowa wiązki, fizyczne uśrednienie pojedynczego wyniku w obszarze pomiarowym.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57" w:after="57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>Rozluźnianie akomodacji badanego poprzez ruch optotypu.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57" w:after="57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Funkcja szybkich pomiarów, realizowana poprzez wyłączenie procedury rozluźnienia akomodacji po pierwszym pomiarze.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57" w:after="57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Funkcja pomiaru oka z soczewką wszczepioną(IOL).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57" w:after="57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Możliwość pomiarów keratometrycznych.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57" w:after="57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Zakres pomiaru mocy rogówki od 33.75D do 67.5D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57" w:after="57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Zakres pomiaru mocy astygmatyzmu rogówki od -10D do +10D.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57" w:after="57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Pomiar osi astygmatyzmu rogówki od 0 do 180 stopni co 1 stopień.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57" w:after="57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 xml:space="preserve">Wbudowana drukarka, umożliwiająca wydruk dokonanych pomiarów.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57" w:after="57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color w:val="000000"/>
                <w:sz w:val="24"/>
                <w:szCs w:val="24"/>
              </w:rPr>
              <w:t xml:space="preserve">Złącza transmisji danych LAN i RS-232C                           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before="57" w:after="57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Arial" w:cs="Calibri" w:ascii="Calibri" w:hAnsi="Calibri" w:asciiTheme="minorHAnsi" w:cstheme="minorHAnsi" w:hAnsiTheme="minorHAnsi"/>
                <w:sz w:val="24"/>
                <w:szCs w:val="24"/>
              </w:rPr>
              <w:t>Wszystkie ruchy główne głowicy sterowane joystickiem.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Gwarancja min. 36 m-cy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Tahoma" w:cs="Calibri" w:ascii="Calibri" w:hAnsi="Calibri" w:asciiTheme="minorHAnsi" w:cstheme="minorHAnsi" w:hAnsiTheme="minorHAnsi"/>
                <w:sz w:val="24"/>
                <w:szCs w:val="24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ind w:right="144" w:hanging="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szCs w:val="24"/>
              </w:rPr>
              <w:t>Zapewniony serwis pogwarancyjny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54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Okres zagwarantowania dostępności części  zamiennych minimum 10 lat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Montaż, uruchomienie i szkolenie obsługi w cenie urządzenia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9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Instrukcja obsługi w języku polskim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1160" w:leader="none"/>
              </w:tabs>
              <w:snapToGrid w:val="false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cs="Calibri" w:ascii="Calibri" w:hAnsi="Calibri"/>
                <w:sz w:val="24"/>
                <w:szCs w:val="24"/>
              </w:rPr>
              <w:t>Paszport techniczny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.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miejscowość, data</w:t>
      </w:r>
    </w:p>
    <w:p>
      <w:pPr>
        <w:pStyle w:val="Normal"/>
        <w:ind w:left="5103" w:hanging="5103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>
      <w:pPr>
        <w:pStyle w:val="Normal"/>
        <w:ind w:left="5103" w:hanging="5103"/>
        <w:rPr/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podpis i pieczęć wykonawc</w:t>
      </w:r>
      <w:bookmarkStart w:id="1" w:name="_Hlk506288726"/>
      <w:bookmarkEnd w:id="1"/>
      <w:r>
        <w:rPr>
          <w:rFonts w:cs="Calibri" w:ascii="Calibri" w:hAnsi="Calibri" w:asciiTheme="minorHAnsi" w:cstheme="minorHAnsi" w:hAnsiTheme="minorHAnsi"/>
          <w:sz w:val="24"/>
          <w:szCs w:val="24"/>
        </w:rPr>
        <w:t>y</w:t>
      </w:r>
    </w:p>
    <w:sectPr>
      <w:type w:val="nextPage"/>
      <w:pgSz w:w="11906" w:h="16838"/>
      <w:pgMar w:left="1080" w:right="108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NDKPJE+TimesNewRoman">
    <w:charset w:val="ee"/>
    <w:family w:val="roman"/>
    <w:pitch w:val="variable"/>
  </w:font>
  <w:font w:name="Trebuchet MS">
    <w:charset w:val="ee"/>
    <w:family w:val="swiss"/>
    <w:pitch w:val="variable"/>
  </w:font>
  <w:font w:name="Calibri">
    <w:charset w:val="ee"/>
    <w:family w:val="swiss"/>
    <w:pitch w:val="variable"/>
  </w:font>
  <w:font w:name="Arial">
    <w:charset w:val="ee"/>
    <w:family w:val="swiss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5"/>
  <w:defaultTabStop w:val="709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9600f0"/>
    <w:pPr>
      <w:widowControl w:val="false"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Nagwek5">
    <w:name w:val="Heading 5"/>
    <w:basedOn w:val="Normal"/>
    <w:next w:val="Normal"/>
    <w:qFormat/>
    <w:pPr>
      <w:keepNext w:val="true"/>
      <w:ind w:left="0" w:right="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9600f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1e169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ListLabel1">
    <w:name w:val="ListLabel 1"/>
    <w:qFormat/>
    <w:rPr>
      <w:rFonts w:eastAsia="Times New Roman" w:cs="Arial"/>
    </w:rPr>
  </w:style>
  <w:style w:type="character" w:styleId="Znakinumeracji">
    <w:name w:val="Znaki numeracji"/>
    <w:qFormat/>
    <w:rPr/>
  </w:style>
  <w:style w:type="character" w:styleId="Domylnaczcionkaakapitu1">
    <w:name w:val="Domyślna czcionka akapitu1"/>
    <w:qFormat/>
    <w:rPr/>
  </w:style>
  <w:style w:type="character" w:styleId="AbsatzStandardschriftart">
    <w:name w:val="Absatz-Standardschriftart"/>
    <w:qFormat/>
    <w:rPr/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Domylnaczcionkaakapitu">
    <w:name w:val="Domyślna czcionka akapitu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1e169d"/>
    <w:pPr>
      <w:spacing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Stopka">
    <w:name w:val="Footer"/>
    <w:basedOn w:val="Normal"/>
    <w:link w:val="StopkaZnak"/>
    <w:rsid w:val="009600f0"/>
    <w:pPr>
      <w:widowControl/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9600f0"/>
    <w:pPr>
      <w:widowControl/>
      <w:spacing w:before="0" w:after="0"/>
      <w:ind w:left="720" w:hanging="0"/>
      <w:contextualSpacing/>
    </w:pPr>
    <w:rPr>
      <w:rFonts w:ascii="Verdana" w:hAnsi="Verdana"/>
      <w:sz w:val="22"/>
    </w:rPr>
  </w:style>
  <w:style w:type="paragraph" w:styleId="NoSpacing">
    <w:name w:val="No Spacing"/>
    <w:basedOn w:val="Normal"/>
    <w:uiPriority w:val="1"/>
    <w:qFormat/>
    <w:rsid w:val="004c2b2d"/>
    <w:pPr>
      <w:widowControl/>
    </w:pPr>
    <w:rPr>
      <w:rFonts w:ascii="Calibri" w:hAnsi="Calibri" w:eastAsia="Calibri" w:cs="Calibri" w:eastAsiaTheme="minorHAnsi"/>
      <w:sz w:val="22"/>
      <w:szCs w:val="22"/>
    </w:rPr>
  </w:style>
  <w:style w:type="paragraph" w:styleId="NormalWeb">
    <w:name w:val="Normal (Web)"/>
    <w:basedOn w:val="Normal"/>
    <w:qFormat/>
    <w:rsid w:val="0006300b"/>
    <w:pPr>
      <w:suppressAutoHyphens w:val="true"/>
      <w:spacing w:before="280" w:after="280"/>
    </w:pPr>
    <w:rPr>
      <w:rFonts w:eastAsia="Lucida Sans Unicode"/>
      <w:sz w:val="24"/>
      <w:szCs w:val="24"/>
    </w:rPr>
  </w:style>
  <w:style w:type="paragraph" w:styleId="Default" w:customStyle="1">
    <w:name w:val="Default"/>
    <w:qFormat/>
    <w:rsid w:val="008b5179"/>
    <w:pPr>
      <w:widowControl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NDKPJE+TimesNewRoman" w:hAnsi="NDKPJE+TimesNewRoman" w:eastAsia="Times New Roman" w:cs="NDKPJE+TimesNewRoman"/>
      <w:color w:val="000000"/>
      <w:kern w:val="2"/>
      <w:sz w:val="24"/>
      <w:szCs w:val="24"/>
      <w:lang w:eastAsia="pl-PL" w:val="pl-PL" w:bidi="hi-IN"/>
    </w:rPr>
  </w:style>
  <w:style w:type="paragraph" w:styleId="WWZawartotabeli1" w:customStyle="1">
    <w:name w:val="WW-Zawartość tabeli1"/>
    <w:basedOn w:val="Tretekstu"/>
    <w:qFormat/>
    <w:rsid w:val="001e169d"/>
    <w:pPr>
      <w:suppressLineNumbers/>
      <w:suppressAutoHyphens w:val="true"/>
    </w:pPr>
    <w:rPr>
      <w:rFonts w:eastAsia="Tahoma"/>
      <w:kern w:val="2"/>
      <w:sz w:val="24"/>
      <w:lang w:eastAsia="zh-CN"/>
    </w:rPr>
  </w:style>
  <w:style w:type="paragraph" w:styleId="WWZawartotabeli11" w:customStyle="1">
    <w:name w:val="WW-Zawartoœæ tabeli1"/>
    <w:basedOn w:val="Tretekstu"/>
    <w:qFormat/>
    <w:rsid w:val="001e169d"/>
    <w:pPr>
      <w:widowControl/>
      <w:suppressAutoHyphens w:val="true"/>
      <w:overflowPunct w:val="true"/>
      <w:textAlignment w:val="baseline"/>
    </w:pPr>
    <w:rPr>
      <w:kern w:val="2"/>
      <w:sz w:val="24"/>
      <w:lang w:eastAsia="zh-CN"/>
    </w:rPr>
  </w:style>
  <w:style w:type="paragraph" w:styleId="Style101">
    <w:name w:val="Style10"/>
    <w:basedOn w:val="Normal"/>
    <w:qFormat/>
    <w:pPr>
      <w:widowControl w:val="false"/>
      <w:autoSpaceDE w:val="false"/>
      <w:jc w:val="center"/>
    </w:pPr>
    <w:rPr>
      <w:rFonts w:ascii="Trebuchet MS" w:hAnsi="Trebuchet MS" w:cs="Trebuchet MS"/>
    </w:rPr>
  </w:style>
  <w:style w:type="paragraph" w:styleId="Akapitzlist1">
    <w:name w:val="Akapit z listą1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Nagwek3">
    <w:name w:val="Nagłówek3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 Unicode MS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Application>LibreOffice/6.2.3.2$Windows_X86_64 LibreOffice_project/aecc05fe267cc68dde00352a451aa867b3b546ac</Application>
  <Pages>2</Pages>
  <Words>322</Words>
  <Characters>1940</Characters>
  <CharactersWithSpaces>2449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2017-08-17T06:56:00Z</dcterms:created>
  <dc:creator/>
  <dc:description/>
  <dc:language>pl-PL</dc:language>
  <cp:lastModifiedBy/>
  <dcterms:modified xsi:type="dcterms:W3CDTF">2019-10-02T07:38:06Z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