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854D23F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03413E">
        <w:rPr>
          <w:b/>
          <w:bCs/>
          <w:sz w:val="20"/>
          <w:szCs w:val="20"/>
        </w:rPr>
        <w:t>leków dla Okulistyki.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7BD00978" w:rsidR="00BB0220" w:rsidRPr="00CD1050" w:rsidRDefault="00BB0220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 xml:space="preserve">RANIBIZUMAB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B0220" w:rsidRPr="0094373C" w14:paraId="2D0F51F1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7CDE682" w14:textId="04443460" w:rsidR="00BB0220" w:rsidRPr="00CD1050" w:rsidRDefault="00BB0220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eastAsia="Calibri" w:hAnsi="Calibri" w:cs="Calibri"/>
                <w:color w:val="000000"/>
                <w:lang w:bidi="ar-SA"/>
              </w:rPr>
              <w:t>AFLIBERCT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6265BF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B02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B02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23</cp:revision>
  <dcterms:created xsi:type="dcterms:W3CDTF">2019-12-13T10:43:00Z</dcterms:created>
  <dcterms:modified xsi:type="dcterms:W3CDTF">2020-01-16T08:15:00Z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