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23.01.2020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ZP/2501/147/19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AC4B21">
        <w:rPr>
          <w:rFonts w:ascii="Arial" w:hAnsi="Arial" w:cs="Arial"/>
          <w:sz w:val="20"/>
          <w:szCs w:val="20"/>
        </w:rPr>
        <w:t xml:space="preserve"> dostawę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AC4B21">
        <w:rPr>
          <w:rFonts w:ascii="Arial" w:hAnsi="Arial" w:cs="Arial"/>
          <w:sz w:val="20"/>
          <w:szCs w:val="20"/>
        </w:rPr>
        <w:t>p</w:t>
      </w:r>
      <w:r w:rsidR="007A3C34" w:rsidRPr="007A3C34">
        <w:rPr>
          <w:rFonts w:ascii="Arial" w:hAnsi="Arial" w:cs="Arial"/>
          <w:b/>
          <w:sz w:val="18"/>
          <w:szCs w:val="18"/>
        </w:rPr>
        <w:t>rodukt</w:t>
      </w:r>
      <w:r w:rsidR="00AC4B21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AC4B21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z nierozstrzygniętego postępowania 2501/100/19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AC4B21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AC4B21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Klej tkankowy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4B21" w:rsidRDefault="0007212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87-100 Toruń, </w:t>
            </w:r>
          </w:p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Szosa Bydgoska 58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Preparat o działaniu przeczyszczającym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4B21" w:rsidRDefault="0007212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120- Lider </w:t>
            </w:r>
          </w:p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Zbąszyńska 3 91-342 Łódź - Członek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Różne cz 1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4B21" w:rsidRDefault="0007212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P. F. Anpharm S.A. i Servier Polska Services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Annopol 6B, 03-236 Warszawa </w:t>
            </w:r>
          </w:p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Jana Kazimierza 10 01-248 Warszawa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Różne cz 2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SPÓŁKA Z OGRANICZONĄ ODPOWIEDZI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Tomyśl ul.Tysiąclecia 14 Polska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Opatrunek z chlorhexydyną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Kajki 18, 05-501 Piaseczno</w:t>
            </w:r>
          </w:p>
        </w:tc>
      </w:tr>
    </w:tbl>
    <w:p w:rsidR="006622A8" w:rsidRDefault="006622A8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20.01.2020godz. </w:t>
      </w:r>
      <w:r w:rsidR="00AC4B21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Klej tkankowy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Preparat o działaniu przeczyszczającym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Różne cz 1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P. F. Anpharm S.A. i Servier Polska Services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Annopol 6B, 03-236 Warszawa ul. Jana Kazimierza 10 01-248 Warszawa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Różne cz 2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SPÓŁKA Z OGRANICZONĄ ODPOWIEDZI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Tomyśl ul.Tysiąclecia 14 Polska</w:t>
            </w:r>
          </w:p>
        </w:tc>
      </w:tr>
    </w:tbl>
    <w:p w:rsidR="006622A8" w:rsidRDefault="006622A8"/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22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Opatrunek z chlorhexydyną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Kajki 18, 05-501 Piaseczno</w:t>
            </w:r>
          </w:p>
        </w:tc>
      </w:tr>
    </w:tbl>
    <w:p w:rsidR="006622A8" w:rsidRDefault="006622A8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22A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Klej tkankowy</w:t>
            </w:r>
          </w:p>
        </w:tc>
      </w:tr>
      <w:tr w:rsidR="006622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22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2A8" w:rsidRDefault="006622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22A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Preparat o działaniu przeczyszczającym</w:t>
            </w:r>
          </w:p>
        </w:tc>
      </w:tr>
      <w:tr w:rsidR="006622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22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2A8" w:rsidRDefault="006622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22A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Różne cz 1</w:t>
            </w:r>
          </w:p>
        </w:tc>
      </w:tr>
      <w:tr w:rsidR="006622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22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2A8" w:rsidRDefault="006622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P. F. Anpharm S.A. i Servier Polska Services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Annopol 6B, 03-236 Warszawa ul. Jana Kazimierza 10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22A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Różne cz 2</w:t>
            </w:r>
          </w:p>
        </w:tc>
      </w:tr>
      <w:tr w:rsidR="006622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22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2A8" w:rsidRDefault="006622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SPÓŁKA Z OGRANICZONĄ ODPOWIEDZI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Tomyśl ul.Tysiąclecia 14 Polska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622A8" w:rsidRDefault="006622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22A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Opatrunek z chlorhexydyną</w:t>
            </w:r>
          </w:p>
        </w:tc>
      </w:tr>
      <w:tr w:rsidR="006622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22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22A8" w:rsidRDefault="006622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22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Kajki 18, 05-501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622A8" w:rsidRDefault="000721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622A8" w:rsidRDefault="006622A8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CD468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CD468E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CD468E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CD468E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7212F" w:rsidRDefault="0007212F" w:rsidP="005B2EC9"/>
    <w:p w:rsidR="0007212F" w:rsidRPr="0007212F" w:rsidRDefault="0007212F" w:rsidP="000721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212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7212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7212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7212F" w:rsidRDefault="0007212F" w:rsidP="000721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212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07212F" w:rsidRDefault="0007212F" w:rsidP="000721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0CEE"/>
    <w:multiLevelType w:val="hybridMultilevel"/>
    <w:tmpl w:val="675E09E8"/>
    <w:lvl w:ilvl="0" w:tplc="23061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3C27F3"/>
    <w:multiLevelType w:val="hybridMultilevel"/>
    <w:tmpl w:val="A016E240"/>
    <w:lvl w:ilvl="0" w:tplc="81227706">
      <w:start w:val="1"/>
      <w:numFmt w:val="decimal"/>
      <w:lvlText w:val="%1."/>
      <w:lvlJc w:val="left"/>
      <w:pPr>
        <w:ind w:left="720" w:hanging="360"/>
      </w:pPr>
    </w:lvl>
    <w:lvl w:ilvl="1" w:tplc="81227706" w:tentative="1">
      <w:start w:val="1"/>
      <w:numFmt w:val="lowerLetter"/>
      <w:lvlText w:val="%2."/>
      <w:lvlJc w:val="left"/>
      <w:pPr>
        <w:ind w:left="1440" w:hanging="360"/>
      </w:pPr>
    </w:lvl>
    <w:lvl w:ilvl="2" w:tplc="81227706" w:tentative="1">
      <w:start w:val="1"/>
      <w:numFmt w:val="lowerRoman"/>
      <w:lvlText w:val="%3."/>
      <w:lvlJc w:val="right"/>
      <w:pPr>
        <w:ind w:left="2160" w:hanging="180"/>
      </w:pPr>
    </w:lvl>
    <w:lvl w:ilvl="3" w:tplc="81227706" w:tentative="1">
      <w:start w:val="1"/>
      <w:numFmt w:val="decimal"/>
      <w:lvlText w:val="%4."/>
      <w:lvlJc w:val="left"/>
      <w:pPr>
        <w:ind w:left="2880" w:hanging="360"/>
      </w:pPr>
    </w:lvl>
    <w:lvl w:ilvl="4" w:tplc="81227706" w:tentative="1">
      <w:start w:val="1"/>
      <w:numFmt w:val="lowerLetter"/>
      <w:lvlText w:val="%5."/>
      <w:lvlJc w:val="left"/>
      <w:pPr>
        <w:ind w:left="3600" w:hanging="360"/>
      </w:pPr>
    </w:lvl>
    <w:lvl w:ilvl="5" w:tplc="81227706" w:tentative="1">
      <w:start w:val="1"/>
      <w:numFmt w:val="lowerRoman"/>
      <w:lvlText w:val="%6."/>
      <w:lvlJc w:val="right"/>
      <w:pPr>
        <w:ind w:left="4320" w:hanging="180"/>
      </w:pPr>
    </w:lvl>
    <w:lvl w:ilvl="6" w:tplc="81227706" w:tentative="1">
      <w:start w:val="1"/>
      <w:numFmt w:val="decimal"/>
      <w:lvlText w:val="%7."/>
      <w:lvlJc w:val="left"/>
      <w:pPr>
        <w:ind w:left="5040" w:hanging="360"/>
      </w:pPr>
    </w:lvl>
    <w:lvl w:ilvl="7" w:tplc="81227706" w:tentative="1">
      <w:start w:val="1"/>
      <w:numFmt w:val="lowerLetter"/>
      <w:lvlText w:val="%8."/>
      <w:lvlJc w:val="left"/>
      <w:pPr>
        <w:ind w:left="5760" w:hanging="360"/>
      </w:pPr>
    </w:lvl>
    <w:lvl w:ilvl="8" w:tplc="81227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212F"/>
    <w:rsid w:val="00086D5F"/>
    <w:rsid w:val="00094753"/>
    <w:rsid w:val="000C6193"/>
    <w:rsid w:val="0018632C"/>
    <w:rsid w:val="001B4095"/>
    <w:rsid w:val="00205C33"/>
    <w:rsid w:val="00252D85"/>
    <w:rsid w:val="003505ED"/>
    <w:rsid w:val="00357D9C"/>
    <w:rsid w:val="00523E13"/>
    <w:rsid w:val="00555AD3"/>
    <w:rsid w:val="005A23C2"/>
    <w:rsid w:val="005B26A1"/>
    <w:rsid w:val="005B2EC9"/>
    <w:rsid w:val="005B6695"/>
    <w:rsid w:val="005C3376"/>
    <w:rsid w:val="005F54C7"/>
    <w:rsid w:val="0061632A"/>
    <w:rsid w:val="006622A8"/>
    <w:rsid w:val="006731A1"/>
    <w:rsid w:val="00691D9B"/>
    <w:rsid w:val="00732100"/>
    <w:rsid w:val="007A3C34"/>
    <w:rsid w:val="008B2970"/>
    <w:rsid w:val="00A75C1D"/>
    <w:rsid w:val="00A840D3"/>
    <w:rsid w:val="00AC4B21"/>
    <w:rsid w:val="00AE5CE9"/>
    <w:rsid w:val="00B3408F"/>
    <w:rsid w:val="00BB18B8"/>
    <w:rsid w:val="00CD468E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83F5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871C-A4FB-4B37-B825-B9C54D6A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2020-01-23T08:01:00Z</dcterms:created>
  <dcterms:modified xsi:type="dcterms:W3CDTF">2020-01-24T10:49:00Z</dcterms:modified>
</cp:coreProperties>
</file>