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9D2EAD6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B57B4A" w:rsidRPr="00B57B4A">
        <w:rPr>
          <w:b/>
          <w:bCs/>
          <w:sz w:val="20"/>
          <w:szCs w:val="20"/>
        </w:rPr>
        <w:t xml:space="preserve"> materiałów do dializy otrzewnowej CADO, ADO 2501/78/2020,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E13FEE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E13FE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1371ABC5" w:rsidR="00BB0220" w:rsidRPr="00CD1050" w:rsidRDefault="00B57B4A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CADO, ADO</w:t>
            </w:r>
            <w:bookmarkStart w:id="2" w:name="_GoBack"/>
            <w:bookmarkEnd w:id="2"/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576CE37B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155180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57B4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57B4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55180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75B79"/>
    <w:rsid w:val="00AB5A8D"/>
    <w:rsid w:val="00AD59CC"/>
    <w:rsid w:val="00B04497"/>
    <w:rsid w:val="00B05DDF"/>
    <w:rsid w:val="00B56759"/>
    <w:rsid w:val="00B57B4A"/>
    <w:rsid w:val="00BA5EA6"/>
    <w:rsid w:val="00BB0220"/>
    <w:rsid w:val="00BC0E09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28</cp:revision>
  <dcterms:created xsi:type="dcterms:W3CDTF">2019-12-13T10:43:00Z</dcterms:created>
  <dcterms:modified xsi:type="dcterms:W3CDTF">2020-09-02T07:29:00Z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