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7690B306" w:rsidR="00F639DA" w:rsidRPr="00F2033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D658F">
        <w:rPr>
          <w:bCs/>
          <w:i/>
          <w:sz w:val="18"/>
          <w:szCs w:val="18"/>
        </w:rPr>
        <w:t>01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3D658F">
        <w:rPr>
          <w:b/>
          <w:bCs/>
          <w:i/>
          <w:sz w:val="18"/>
          <w:szCs w:val="18"/>
        </w:rPr>
        <w:t>dostawa implantów do endoprotez stawu ramiennego</w:t>
      </w: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  <w:bookmarkStart w:id="4" w:name="_GoBack"/>
      <w:bookmarkEnd w:id="4"/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5</cp:revision>
  <dcterms:created xsi:type="dcterms:W3CDTF">2020-11-19T10:26:00Z</dcterms:created>
  <dcterms:modified xsi:type="dcterms:W3CDTF">2021-01-14T10:15:00Z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