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029D34" w14:textId="13CA50B7" w:rsidR="0037531A" w:rsidRPr="0037531A" w:rsidRDefault="0037531A" w:rsidP="0037531A">
      <w:pPr>
        <w:widowControl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37531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37531A">
        <w:rPr>
          <w:rFonts w:ascii="Arial" w:hAnsi="Arial" w:cs="Arial"/>
          <w:snapToGrid w:val="0"/>
          <w:sz w:val="18"/>
          <w:szCs w:val="18"/>
        </w:rPr>
        <w:t>znak sprawy ZP/2501/3</w:t>
      </w:r>
      <w:r>
        <w:rPr>
          <w:rFonts w:ascii="Arial" w:hAnsi="Arial" w:cs="Arial"/>
          <w:snapToGrid w:val="0"/>
          <w:sz w:val="18"/>
          <w:szCs w:val="18"/>
        </w:rPr>
        <w:t>5</w:t>
      </w:r>
      <w:r w:rsidRPr="0037531A">
        <w:rPr>
          <w:rFonts w:ascii="Arial" w:hAnsi="Arial" w:cs="Arial"/>
          <w:snapToGrid w:val="0"/>
          <w:sz w:val="18"/>
          <w:szCs w:val="18"/>
        </w:rPr>
        <w:t>/21</w:t>
      </w:r>
      <w:bookmarkEnd w:id="1"/>
      <w:r w:rsidRPr="0037531A">
        <w:rPr>
          <w:rFonts w:ascii="Arial" w:hAnsi="Arial" w:cs="Arial"/>
          <w:snapToGrid w:val="0"/>
          <w:sz w:val="18"/>
          <w:szCs w:val="18"/>
        </w:rPr>
        <w:t xml:space="preserve">, prowadzonego w trybie podstawowym  na podstawie ustawy z dnia 11 września 2019 r Prawo zamówień publicznych, zwanej dalej </w:t>
      </w:r>
      <w:proofErr w:type="spellStart"/>
      <w:r w:rsidRPr="0037531A"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 w:rsidRPr="0037531A">
        <w:rPr>
          <w:rFonts w:ascii="Arial" w:hAnsi="Arial" w:cs="Arial"/>
          <w:snapToGrid w:val="0"/>
          <w:sz w:val="18"/>
          <w:szCs w:val="18"/>
        </w:rPr>
        <w:t>, (</w:t>
      </w:r>
      <w:proofErr w:type="spellStart"/>
      <w:r w:rsidRPr="0037531A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37531A">
        <w:rPr>
          <w:rFonts w:ascii="Arial" w:hAnsi="Arial" w:cs="Arial"/>
          <w:snapToGrid w:val="0"/>
          <w:sz w:val="18"/>
          <w:szCs w:val="18"/>
        </w:rPr>
        <w:t>. Dz. U. z 2019 r. poz. 2019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270839E2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931656">
        <w:rPr>
          <w:rFonts w:ascii="Arial" w:hAnsi="Arial" w:cs="Arial"/>
          <w:b/>
          <w:i/>
          <w:sz w:val="18"/>
          <w:szCs w:val="18"/>
          <w:lang w:eastAsia="pl-PL"/>
        </w:rPr>
        <w:t xml:space="preserve">u - </w:t>
      </w:r>
      <w:proofErr w:type="spellStart"/>
      <w:r w:rsidR="00931656" w:rsidRPr="00931656">
        <w:rPr>
          <w:rFonts w:ascii="Arial" w:hAnsi="Arial" w:cs="Arial"/>
          <w:b/>
          <w:bCs/>
          <w:i/>
          <w:iCs/>
          <w:color w:val="3C3C3C"/>
          <w:sz w:val="18"/>
          <w:szCs w:val="18"/>
        </w:rPr>
        <w:t>Enoksaparyny</w:t>
      </w:r>
      <w:proofErr w:type="spellEnd"/>
      <w:r w:rsidR="00931656" w:rsidRPr="00931656">
        <w:rPr>
          <w:rFonts w:ascii="Arial" w:hAnsi="Arial" w:cs="Arial"/>
          <w:b/>
          <w:i/>
          <w:iCs/>
          <w:sz w:val="18"/>
          <w:szCs w:val="18"/>
          <w:lang w:eastAsia="pl-PL"/>
        </w:rPr>
        <w:t xml:space="preserve"> </w:t>
      </w:r>
      <w:r w:rsidRPr="00931656">
        <w:rPr>
          <w:rFonts w:ascii="Arial" w:hAnsi="Arial" w:cs="Arial"/>
          <w:b/>
          <w:i/>
          <w:iCs/>
          <w:sz w:val="18"/>
          <w:szCs w:val="18"/>
          <w:lang w:eastAsia="pl-PL"/>
        </w:rPr>
        <w:t>,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7785608C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8F529D">
        <w:rPr>
          <w:rFonts w:ascii="Arial" w:hAnsi="Arial" w:cs="Arial"/>
          <w:color w:val="000000"/>
          <w:sz w:val="18"/>
          <w:szCs w:val="18"/>
          <w:lang w:eastAsia="pl-PL"/>
        </w:rPr>
        <w:t>35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70D1382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A370150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10%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33318F6D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34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oświadcza, że opóźnienia w zapłacie za dostarczony towar, nie przekraczające 60 dni, licząc od daty upływu terminu płatności, określonego w  § 4 ust. 1,  nie spowodują wstrzymania dostaw towaru lub ich nieterminowości.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lastRenderedPageBreak/>
        <w:t xml:space="preserve">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 w:rsidRPr="00DE062E">
        <w:rPr>
          <w:rFonts w:ascii="Arial" w:eastAsia="Symbol" w:hAnsi="Arial" w:cs="Arial"/>
          <w:sz w:val="18"/>
          <w:szCs w:val="18"/>
        </w:rPr>
        <w:t>c,</w:t>
      </w:r>
      <w:r>
        <w:rPr>
          <w:rFonts w:ascii="Arial" w:eastAsia="Symbol" w:hAnsi="Arial" w:cs="Arial"/>
          <w:sz w:val="18"/>
          <w:szCs w:val="18"/>
        </w:rPr>
        <w:t>e</w:t>
      </w:r>
      <w:proofErr w:type="spellEnd"/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61E41B3C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BD3751">
        <w:rPr>
          <w:rFonts w:ascii="Arial" w:hAnsi="Arial" w:cs="Arial"/>
          <w:sz w:val="18"/>
          <w:szCs w:val="18"/>
          <w:lang w:eastAsia="pl-PL"/>
        </w:rPr>
        <w:t xml:space="preserve"> </w:t>
      </w:r>
      <w:bookmarkStart w:id="3" w:name="_GoBack"/>
      <w:bookmarkEnd w:id="3"/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</w:t>
      </w:r>
      <w:r w:rsidRPr="00DE062E">
        <w:rPr>
          <w:rFonts w:ascii="Arial" w:hAnsi="Arial" w:cs="Arial"/>
          <w:sz w:val="18"/>
          <w:szCs w:val="18"/>
          <w:lang w:eastAsia="pl-PL"/>
        </w:rPr>
        <w:lastRenderedPageBreak/>
        <w:t xml:space="preserve">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D4490"/>
    <w:rsid w:val="002F2DCD"/>
    <w:rsid w:val="0037531A"/>
    <w:rsid w:val="003A1DA8"/>
    <w:rsid w:val="007163D8"/>
    <w:rsid w:val="00751801"/>
    <w:rsid w:val="007B557A"/>
    <w:rsid w:val="007D753B"/>
    <w:rsid w:val="00872FB5"/>
    <w:rsid w:val="008F529D"/>
    <w:rsid w:val="00931656"/>
    <w:rsid w:val="00AA7D7B"/>
    <w:rsid w:val="00B37711"/>
    <w:rsid w:val="00B61B7C"/>
    <w:rsid w:val="00BD3751"/>
    <w:rsid w:val="00DA484E"/>
    <w:rsid w:val="00E9214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2386</Words>
  <Characters>14319</Characters>
  <Application>Microsoft Office Word</Application>
  <DocSecurity>0</DocSecurity>
  <Lines>119</Lines>
  <Paragraphs>33</Paragraphs>
  <ScaleCrop>false</ScaleCrop>
  <Company/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2021-02-08T08:30:00Z</dcterms:created>
  <dcterms:modified xsi:type="dcterms:W3CDTF">2021-04-01T10:00:00Z</dcterms:modified>
</cp:coreProperties>
</file>