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36535122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D5147D">
        <w:rPr>
          <w:rFonts w:ascii="Arial" w:hAnsi="Arial" w:cs="Arial"/>
          <w:snapToGrid w:val="0"/>
          <w:sz w:val="18"/>
          <w:szCs w:val="18"/>
        </w:rPr>
        <w:t>49</w:t>
      </w:r>
      <w:r w:rsidRPr="0037531A">
        <w:rPr>
          <w:rFonts w:ascii="Arial" w:hAnsi="Arial" w:cs="Arial"/>
          <w:snapToGrid w:val="0"/>
          <w:sz w:val="18"/>
          <w:szCs w:val="18"/>
        </w:rPr>
        <w:t>/21</w:t>
      </w:r>
      <w:bookmarkEnd w:id="1"/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7FF30AB6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931656">
        <w:rPr>
          <w:rFonts w:ascii="Arial" w:hAnsi="Arial" w:cs="Arial"/>
          <w:b/>
          <w:i/>
          <w:sz w:val="18"/>
          <w:szCs w:val="18"/>
          <w:lang w:eastAsia="pl-PL"/>
        </w:rPr>
        <w:t xml:space="preserve">u - </w:t>
      </w:r>
      <w:r w:rsidR="00D5147D">
        <w:rPr>
          <w:rFonts w:ascii="Arial" w:hAnsi="Arial" w:cs="Arial"/>
          <w:b/>
          <w:bCs/>
          <w:i/>
          <w:iCs/>
          <w:color w:val="3C3C3C"/>
          <w:sz w:val="18"/>
          <w:szCs w:val="18"/>
        </w:rPr>
        <w:t>Nadroparyny</w:t>
      </w:r>
      <w:r w:rsidR="00931656"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 xml:space="preserve"> </w:t>
      </w:r>
      <w:r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64E1E188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7A3AA8">
        <w:rPr>
          <w:rFonts w:ascii="Arial" w:hAnsi="Arial" w:cs="Arial"/>
          <w:color w:val="000000"/>
          <w:sz w:val="18"/>
          <w:szCs w:val="18"/>
          <w:lang w:eastAsia="pl-PL"/>
        </w:rPr>
        <w:t>49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70D1382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225EB7BC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33E4A">
        <w:rPr>
          <w:rFonts w:ascii="Arial" w:hAnsi="Arial" w:cs="Arial"/>
          <w:b/>
          <w:sz w:val="18"/>
          <w:szCs w:val="18"/>
        </w:rPr>
        <w:t xml:space="preserve">24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61E41B3C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BD375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3.W przypadku nie dojścia do porozumienia spory będą rozstrzygane przez Sąd właściwy dla siedziby </w:t>
      </w:r>
      <w:r w:rsidRPr="00DE062E">
        <w:rPr>
          <w:rFonts w:ascii="Arial" w:hAnsi="Arial" w:cs="Arial"/>
          <w:sz w:val="18"/>
          <w:szCs w:val="18"/>
        </w:rPr>
        <w:lastRenderedPageBreak/>
        <w:t>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D4490"/>
    <w:rsid w:val="002F2DCD"/>
    <w:rsid w:val="0037531A"/>
    <w:rsid w:val="003A1DA8"/>
    <w:rsid w:val="007163D8"/>
    <w:rsid w:val="00751801"/>
    <w:rsid w:val="007A3AA8"/>
    <w:rsid w:val="007B18BA"/>
    <w:rsid w:val="007B557A"/>
    <w:rsid w:val="007D753B"/>
    <w:rsid w:val="00872FB5"/>
    <w:rsid w:val="008F529D"/>
    <w:rsid w:val="00931656"/>
    <w:rsid w:val="00A33E4A"/>
    <w:rsid w:val="00AA7D7B"/>
    <w:rsid w:val="00B37711"/>
    <w:rsid w:val="00B61B7C"/>
    <w:rsid w:val="00BD3751"/>
    <w:rsid w:val="00D5147D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2104</Words>
  <Characters>12629</Characters>
  <Application>Microsoft Office Word</Application>
  <DocSecurity>0</DocSecurity>
  <Lines>105</Lines>
  <Paragraphs>29</Paragraphs>
  <ScaleCrop>false</ScaleCrop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22</cp:revision>
  <dcterms:created xsi:type="dcterms:W3CDTF">2021-02-08T08:30:00Z</dcterms:created>
  <dcterms:modified xsi:type="dcterms:W3CDTF">2021-05-04T07:24:00Z</dcterms:modified>
</cp:coreProperties>
</file>