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4554EA0B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C12D47">
        <w:rPr>
          <w:rFonts w:ascii="Arial" w:hAnsi="Arial" w:cs="Arial"/>
          <w:sz w:val="18"/>
          <w:szCs w:val="18"/>
          <w:lang w:eastAsia="pl-PL"/>
        </w:rPr>
        <w:t>35.1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3AEA595E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D12E9A">
        <w:rPr>
          <w:rFonts w:ascii="Arial" w:hAnsi="Arial" w:cs="Arial"/>
          <w:b/>
          <w:i/>
          <w:sz w:val="18"/>
          <w:szCs w:val="18"/>
          <w:lang w:eastAsia="pl-PL"/>
        </w:rPr>
        <w:t>u</w:t>
      </w:r>
      <w:r w:rsidR="00C12D47">
        <w:rPr>
          <w:rFonts w:ascii="Arial" w:hAnsi="Arial" w:cs="Arial"/>
          <w:b/>
          <w:i/>
          <w:sz w:val="18"/>
          <w:szCs w:val="18"/>
          <w:lang w:eastAsia="pl-PL"/>
        </w:rPr>
        <w:t xml:space="preserve"> Enoksaparyna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44F68236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D12E9A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8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73695A0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777BA1">
        <w:rPr>
          <w:rFonts w:ascii="Arial" w:hAnsi="Arial" w:cs="Arial"/>
          <w:b/>
          <w:sz w:val="18"/>
          <w:szCs w:val="18"/>
        </w:rPr>
        <w:t>24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23244D"/>
    <w:rsid w:val="0036049F"/>
    <w:rsid w:val="003A1DA8"/>
    <w:rsid w:val="003B0DB8"/>
    <w:rsid w:val="005E7714"/>
    <w:rsid w:val="007163D8"/>
    <w:rsid w:val="00751801"/>
    <w:rsid w:val="00777BA1"/>
    <w:rsid w:val="007B557A"/>
    <w:rsid w:val="00866A46"/>
    <w:rsid w:val="00872FB5"/>
    <w:rsid w:val="009F7714"/>
    <w:rsid w:val="00AA7D7B"/>
    <w:rsid w:val="00B37711"/>
    <w:rsid w:val="00B61B7C"/>
    <w:rsid w:val="00C12D47"/>
    <w:rsid w:val="00C66351"/>
    <w:rsid w:val="00CC4789"/>
    <w:rsid w:val="00D12E9A"/>
    <w:rsid w:val="00DA484E"/>
    <w:rsid w:val="00E92145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2369</Words>
  <Characters>14215</Characters>
  <Application>Microsoft Office Word</Application>
  <DocSecurity>0</DocSecurity>
  <Lines>118</Lines>
  <Paragraphs>33</Paragraphs>
  <ScaleCrop>false</ScaleCrop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23</cp:revision>
  <cp:lastPrinted>2021-02-26T08:20:00Z</cp:lastPrinted>
  <dcterms:created xsi:type="dcterms:W3CDTF">2021-02-08T08:30:00Z</dcterms:created>
  <dcterms:modified xsi:type="dcterms:W3CDTF">2021-05-18T06:30:00Z</dcterms:modified>
</cp:coreProperties>
</file>