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C556D" w14:textId="595108D7" w:rsidR="00114610" w:rsidRPr="00DC0D55" w:rsidRDefault="00114610" w:rsidP="006A7A15">
      <w:pPr>
        <w:widowControl w:val="0"/>
        <w:suppressAutoHyphens/>
        <w:autoSpaceDE w:val="0"/>
        <w:jc w:val="right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lang w:eastAsia="zh-CN"/>
        </w:rPr>
        <w:t xml:space="preserve">Ciechanów dnia </w:t>
      </w:r>
      <w:r w:rsidR="00BE6790">
        <w:rPr>
          <w:rFonts w:ascii="Arial" w:hAnsi="Arial" w:cs="Arial"/>
          <w:lang w:eastAsia="zh-CN"/>
        </w:rPr>
        <w:t>2</w:t>
      </w:r>
      <w:r w:rsidR="001D4CA1">
        <w:rPr>
          <w:rFonts w:ascii="Arial" w:hAnsi="Arial" w:cs="Arial"/>
          <w:lang w:eastAsia="zh-CN"/>
        </w:rPr>
        <w:t>4</w:t>
      </w:r>
      <w:r w:rsidR="00744A2A" w:rsidRPr="00DC0D55">
        <w:rPr>
          <w:rFonts w:ascii="Arial" w:hAnsi="Arial" w:cs="Arial"/>
          <w:lang w:eastAsia="zh-CN"/>
        </w:rPr>
        <w:t>.05</w:t>
      </w:r>
      <w:r w:rsidR="00823CE1" w:rsidRPr="00DC0D55">
        <w:rPr>
          <w:rFonts w:ascii="Arial" w:hAnsi="Arial" w:cs="Arial"/>
          <w:lang w:eastAsia="zh-CN"/>
        </w:rPr>
        <w:t>.</w:t>
      </w:r>
      <w:r w:rsidRPr="00DC0D55">
        <w:rPr>
          <w:rFonts w:ascii="Arial" w:hAnsi="Arial" w:cs="Arial"/>
          <w:lang w:eastAsia="zh-CN"/>
        </w:rPr>
        <w:t>20</w:t>
      </w:r>
      <w:r w:rsidR="00823CE1" w:rsidRPr="00DC0D55">
        <w:rPr>
          <w:rFonts w:ascii="Arial" w:hAnsi="Arial" w:cs="Arial"/>
          <w:lang w:eastAsia="zh-CN"/>
        </w:rPr>
        <w:t>21</w:t>
      </w:r>
      <w:r w:rsidRPr="00DC0D55">
        <w:rPr>
          <w:rFonts w:ascii="Arial" w:hAnsi="Arial" w:cs="Arial"/>
          <w:lang w:eastAsia="zh-CN"/>
        </w:rPr>
        <w:t xml:space="preserve"> r.</w:t>
      </w:r>
    </w:p>
    <w:p w14:paraId="74161E38" w14:textId="0694C1E8" w:rsidR="00114610" w:rsidRPr="00DC0D55" w:rsidRDefault="00114610" w:rsidP="006A7A15">
      <w:pPr>
        <w:suppressAutoHyphens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lang w:eastAsia="zh-CN"/>
        </w:rPr>
        <w:t>AT - ZP/2501/</w:t>
      </w:r>
      <w:r w:rsidR="00744A2A" w:rsidRPr="00DC0D55">
        <w:rPr>
          <w:rFonts w:ascii="Arial" w:hAnsi="Arial" w:cs="Arial"/>
          <w:lang w:eastAsia="zh-CN"/>
        </w:rPr>
        <w:t>47</w:t>
      </w:r>
      <w:r w:rsidRPr="00DC0D55">
        <w:rPr>
          <w:rFonts w:ascii="Arial" w:hAnsi="Arial" w:cs="Arial"/>
          <w:lang w:eastAsia="zh-CN"/>
        </w:rPr>
        <w:t>/</w:t>
      </w:r>
      <w:r w:rsidR="001B7C4E" w:rsidRPr="00DC0D55">
        <w:rPr>
          <w:rFonts w:ascii="Arial" w:hAnsi="Arial" w:cs="Arial"/>
          <w:lang w:eastAsia="zh-CN"/>
        </w:rPr>
        <w:t>2</w:t>
      </w:r>
      <w:r w:rsidR="00744A2A" w:rsidRPr="00DC0D55">
        <w:rPr>
          <w:rFonts w:ascii="Arial" w:hAnsi="Arial" w:cs="Arial"/>
          <w:lang w:eastAsia="zh-CN"/>
        </w:rPr>
        <w:t>1</w:t>
      </w:r>
      <w:r w:rsidRPr="00DC0D55">
        <w:rPr>
          <w:rFonts w:ascii="Arial" w:hAnsi="Arial" w:cs="Arial"/>
          <w:lang w:eastAsia="zh-CN"/>
        </w:rPr>
        <w:tab/>
      </w:r>
      <w:r w:rsidRPr="00DC0D55">
        <w:rPr>
          <w:rFonts w:ascii="Arial" w:hAnsi="Arial" w:cs="Arial"/>
          <w:lang w:eastAsia="zh-CN"/>
        </w:rPr>
        <w:tab/>
      </w:r>
      <w:r w:rsidRPr="00DC0D55">
        <w:rPr>
          <w:rFonts w:ascii="Arial" w:hAnsi="Arial" w:cs="Arial"/>
          <w:lang w:eastAsia="zh-CN"/>
        </w:rPr>
        <w:tab/>
      </w:r>
      <w:r w:rsidRPr="00DC0D55">
        <w:rPr>
          <w:rFonts w:ascii="Arial" w:hAnsi="Arial" w:cs="Arial"/>
          <w:lang w:eastAsia="zh-CN"/>
        </w:rPr>
        <w:tab/>
      </w:r>
      <w:r w:rsidRPr="00DC0D55">
        <w:rPr>
          <w:rFonts w:ascii="Arial" w:hAnsi="Arial" w:cs="Arial"/>
          <w:lang w:eastAsia="zh-CN"/>
        </w:rPr>
        <w:tab/>
      </w:r>
      <w:r w:rsidRPr="00DC0D55">
        <w:rPr>
          <w:rFonts w:ascii="Arial" w:hAnsi="Arial" w:cs="Arial"/>
          <w:lang w:eastAsia="zh-CN"/>
        </w:rPr>
        <w:tab/>
      </w:r>
    </w:p>
    <w:p w14:paraId="0FDA1B12" w14:textId="77777777" w:rsidR="0089533B" w:rsidRPr="00DC0D55" w:rsidRDefault="0089533B" w:rsidP="006A7A15">
      <w:pPr>
        <w:suppressAutoHyphens/>
        <w:ind w:firstLine="5670"/>
        <w:rPr>
          <w:rFonts w:ascii="Arial" w:hAnsi="Arial" w:cs="Arial"/>
          <w:b/>
          <w:bCs/>
          <w:lang w:eastAsia="zh-CN"/>
        </w:rPr>
      </w:pPr>
    </w:p>
    <w:p w14:paraId="57E8F5C0" w14:textId="77777777" w:rsidR="0089533B" w:rsidRPr="00DC0D55" w:rsidRDefault="0089533B" w:rsidP="006A7A15">
      <w:pPr>
        <w:suppressAutoHyphens/>
        <w:ind w:firstLine="5670"/>
        <w:rPr>
          <w:rFonts w:ascii="Arial" w:hAnsi="Arial" w:cs="Arial"/>
          <w:b/>
          <w:bCs/>
          <w:lang w:eastAsia="zh-CN"/>
        </w:rPr>
      </w:pPr>
    </w:p>
    <w:p w14:paraId="7B7640D7" w14:textId="3D4D41FA" w:rsidR="00114610" w:rsidRPr="00DC0D55" w:rsidRDefault="00114610" w:rsidP="006A7A15">
      <w:pPr>
        <w:suppressAutoHyphens/>
        <w:ind w:firstLine="5670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b/>
          <w:bCs/>
          <w:lang w:eastAsia="zh-CN"/>
        </w:rPr>
        <w:t>Uczestnicy postępowania</w:t>
      </w:r>
    </w:p>
    <w:p w14:paraId="02A272D8" w14:textId="77777777" w:rsidR="00114610" w:rsidRPr="00DC0D55" w:rsidRDefault="00114610" w:rsidP="006A7A15">
      <w:pPr>
        <w:widowControl w:val="0"/>
        <w:suppressAutoHyphens/>
        <w:autoSpaceDE w:val="0"/>
        <w:ind w:firstLine="5670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b/>
          <w:bCs/>
          <w:lang w:eastAsia="zh-CN"/>
        </w:rPr>
        <w:t>o zamówienie publiczne</w:t>
      </w:r>
    </w:p>
    <w:p w14:paraId="2D1C69F7" w14:textId="77777777" w:rsidR="00114610" w:rsidRPr="00DC0D55" w:rsidRDefault="00114610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  <w:r w:rsidRPr="00DC0D55">
        <w:rPr>
          <w:rFonts w:ascii="Arial" w:hAnsi="Arial" w:cs="Arial"/>
          <w:b/>
          <w:bCs/>
          <w:lang w:eastAsia="zh-CN"/>
        </w:rPr>
        <w:tab/>
      </w:r>
    </w:p>
    <w:p w14:paraId="76F897C1" w14:textId="77777777" w:rsidR="0089533B" w:rsidRPr="00DC0D55" w:rsidRDefault="0089533B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4A983086" w14:textId="77777777" w:rsidR="0089533B" w:rsidRPr="00DC0D55" w:rsidRDefault="0089533B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5833EBED" w14:textId="39E2BDCD" w:rsidR="004F156E" w:rsidRPr="00DC0D55" w:rsidRDefault="00B35894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lang w:eastAsia="zh-CN"/>
        </w:rPr>
        <w:t>dotyczy</w:t>
      </w:r>
      <w:r w:rsidR="00B57A85" w:rsidRPr="00DC0D55">
        <w:rPr>
          <w:rFonts w:ascii="Arial" w:hAnsi="Arial" w:cs="Arial"/>
          <w:lang w:eastAsia="zh-CN"/>
        </w:rPr>
        <w:t>: przetargu nieograniczonego na dostawę</w:t>
      </w:r>
      <w:r w:rsidR="004F156E" w:rsidRPr="00DC0D55">
        <w:rPr>
          <w:rFonts w:ascii="Arial" w:hAnsi="Arial" w:cs="Arial"/>
          <w:lang w:eastAsia="zh-CN"/>
        </w:rPr>
        <w:t>:</w:t>
      </w:r>
    </w:p>
    <w:p w14:paraId="143D7014" w14:textId="77777777" w:rsidR="004F156E" w:rsidRPr="00DC0D5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  <w:i/>
          <w:iCs/>
        </w:rPr>
      </w:pPr>
      <w:r w:rsidRPr="00DC0D55">
        <w:rPr>
          <w:rFonts w:ascii="Arial" w:eastAsia="Arial" w:hAnsi="Arial" w:cs="Arial"/>
          <w:b/>
          <w:bCs/>
          <w:i/>
          <w:iCs/>
        </w:rPr>
        <w:t>1. rezonansu magnetycznego, wraz z adaptacją pomieszczeń.</w:t>
      </w:r>
    </w:p>
    <w:p w14:paraId="14016345" w14:textId="77777777" w:rsidR="004F156E" w:rsidRPr="00DC0D5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  <w:i/>
          <w:iCs/>
        </w:rPr>
      </w:pPr>
      <w:r w:rsidRPr="00DC0D55">
        <w:rPr>
          <w:rFonts w:ascii="Arial" w:eastAsia="Arial" w:hAnsi="Arial" w:cs="Arial"/>
          <w:b/>
          <w:bCs/>
          <w:i/>
          <w:iCs/>
        </w:rPr>
        <w:t>2. mammografu, wraz z adaptacją pomieszczeń</w:t>
      </w:r>
    </w:p>
    <w:p w14:paraId="76803F49" w14:textId="5063F443" w:rsidR="004F156E" w:rsidRPr="00DC0D55" w:rsidRDefault="004F156E" w:rsidP="006A7A15">
      <w:pPr>
        <w:ind w:left="62" w:right="410" w:hanging="62"/>
        <w:jc w:val="both"/>
        <w:rPr>
          <w:rFonts w:ascii="Arial" w:eastAsia="Arial" w:hAnsi="Arial" w:cs="Arial"/>
          <w:b/>
          <w:bCs/>
        </w:rPr>
      </w:pPr>
      <w:r w:rsidRPr="00DC0D55">
        <w:rPr>
          <w:rFonts w:ascii="Arial" w:eastAsia="Arial" w:hAnsi="Arial" w:cs="Arial"/>
          <w:b/>
          <w:bCs/>
          <w:i/>
          <w:iCs/>
        </w:rPr>
        <w:t>ZP/2501/</w:t>
      </w:r>
      <w:r w:rsidR="001A36B0" w:rsidRPr="00DC0D55">
        <w:rPr>
          <w:rFonts w:ascii="Arial" w:eastAsia="Arial" w:hAnsi="Arial" w:cs="Arial"/>
          <w:b/>
          <w:bCs/>
          <w:i/>
          <w:iCs/>
        </w:rPr>
        <w:t>47</w:t>
      </w:r>
      <w:r w:rsidRPr="00DC0D55">
        <w:rPr>
          <w:rFonts w:ascii="Arial" w:eastAsia="Arial" w:hAnsi="Arial" w:cs="Arial"/>
          <w:b/>
          <w:bCs/>
          <w:i/>
          <w:iCs/>
        </w:rPr>
        <w:t>/2</w:t>
      </w:r>
      <w:r w:rsidR="001A36B0" w:rsidRPr="00DC0D55">
        <w:rPr>
          <w:rFonts w:ascii="Arial" w:eastAsia="Arial" w:hAnsi="Arial" w:cs="Arial"/>
          <w:b/>
          <w:bCs/>
          <w:i/>
          <w:iCs/>
        </w:rPr>
        <w:t>1</w:t>
      </w:r>
    </w:p>
    <w:p w14:paraId="2E4A7BDB" w14:textId="77777777" w:rsidR="00B57A85" w:rsidRPr="00DC0D55" w:rsidRDefault="00B57A85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p w14:paraId="1445EB69" w14:textId="12BB4B5D" w:rsidR="00E538FF" w:rsidRPr="00DC0D55" w:rsidRDefault="00B57A85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  <w:r w:rsidRPr="00DC0D55">
        <w:rPr>
          <w:rFonts w:ascii="Arial" w:hAnsi="Arial" w:cs="Arial"/>
          <w:lang w:eastAsia="zh-CN"/>
        </w:rPr>
        <w:t xml:space="preserve">Specjalistyczny Szpital Wojewódzki w Ciechanowie </w:t>
      </w:r>
      <w:r w:rsidR="00E538FF" w:rsidRPr="00DC0D55">
        <w:rPr>
          <w:rFonts w:ascii="Arial" w:hAnsi="Arial" w:cs="Arial"/>
          <w:lang w:eastAsia="zh-CN"/>
        </w:rPr>
        <w:t>udziela poniżej wyjaśnień dotyczących treści SWZ:</w:t>
      </w:r>
    </w:p>
    <w:p w14:paraId="0ECFB37A" w14:textId="77777777" w:rsidR="00E538FF" w:rsidRPr="00DC0D55" w:rsidRDefault="00E538FF" w:rsidP="006A7A15">
      <w:pPr>
        <w:widowControl w:val="0"/>
        <w:suppressAutoHyphens/>
        <w:autoSpaceDE w:val="0"/>
        <w:rPr>
          <w:rFonts w:ascii="Arial" w:hAnsi="Arial" w:cs="Arial"/>
          <w:lang w:eastAsia="zh-CN"/>
        </w:rPr>
      </w:pPr>
    </w:p>
    <w:tbl>
      <w:tblPr>
        <w:tblStyle w:val="Tabela-Siatka"/>
        <w:tblW w:w="15026" w:type="dxa"/>
        <w:tblInd w:w="0" w:type="dxa"/>
        <w:tblLook w:val="04A0" w:firstRow="1" w:lastRow="0" w:firstColumn="1" w:lastColumn="0" w:noHBand="0" w:noVBand="1"/>
      </w:tblPr>
      <w:tblGrid>
        <w:gridCol w:w="694"/>
        <w:gridCol w:w="11492"/>
        <w:gridCol w:w="2840"/>
      </w:tblGrid>
      <w:tr w:rsidR="001D4CA1" w:rsidRPr="00BE6790" w14:paraId="658382B4" w14:textId="77777777" w:rsidTr="001D4CA1">
        <w:tc>
          <w:tcPr>
            <w:tcW w:w="694" w:type="dxa"/>
          </w:tcPr>
          <w:p w14:paraId="1BB16D6B" w14:textId="1574C35C" w:rsidR="001D4CA1" w:rsidRPr="00BE6790" w:rsidRDefault="001D4CA1" w:rsidP="006A7A15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Lp.</w:t>
            </w:r>
          </w:p>
        </w:tc>
        <w:tc>
          <w:tcPr>
            <w:tcW w:w="11492" w:type="dxa"/>
          </w:tcPr>
          <w:p w14:paraId="00BF52BB" w14:textId="24C6E58A" w:rsidR="001D4CA1" w:rsidRPr="00BE6790" w:rsidRDefault="001D4CA1" w:rsidP="006A7A15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Treść zapytania wykonawcy</w:t>
            </w:r>
          </w:p>
        </w:tc>
        <w:tc>
          <w:tcPr>
            <w:tcW w:w="2840" w:type="dxa"/>
          </w:tcPr>
          <w:p w14:paraId="46D56D88" w14:textId="142C6F92" w:rsidR="001D4CA1" w:rsidRPr="00BE6790" w:rsidRDefault="001D4CA1" w:rsidP="006A7A15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Wyjaśnienie zamawiającego</w:t>
            </w:r>
          </w:p>
        </w:tc>
      </w:tr>
      <w:tr w:rsidR="001D4CA1" w:rsidRPr="00BE6790" w14:paraId="130E26ED" w14:textId="77777777" w:rsidTr="001D4CA1">
        <w:tc>
          <w:tcPr>
            <w:tcW w:w="12186" w:type="dxa"/>
            <w:gridSpan w:val="2"/>
          </w:tcPr>
          <w:p w14:paraId="085AFD78" w14:textId="79149E19" w:rsidR="001D4CA1" w:rsidRPr="00BE6790" w:rsidRDefault="001D4CA1" w:rsidP="006A7A15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  <w:b/>
                <w:bCs/>
              </w:rPr>
              <w:t>Część nr 1: Rezonans magnetyczny, wraz z adaptacją pomieszczeń</w:t>
            </w:r>
            <w:r w:rsidRPr="00BE6790">
              <w:rPr>
                <w:rFonts w:ascii="Arial" w:hAnsi="Arial" w:cs="Arial"/>
              </w:rPr>
              <w:t>.</w:t>
            </w:r>
          </w:p>
        </w:tc>
        <w:tc>
          <w:tcPr>
            <w:tcW w:w="2840" w:type="dxa"/>
          </w:tcPr>
          <w:p w14:paraId="25BA8FE7" w14:textId="77777777" w:rsidR="001D4CA1" w:rsidRPr="00BE6790" w:rsidRDefault="001D4CA1" w:rsidP="006A7A15">
            <w:pPr>
              <w:rPr>
                <w:rFonts w:ascii="Arial" w:hAnsi="Arial" w:cs="Arial"/>
              </w:rPr>
            </w:pPr>
          </w:p>
        </w:tc>
      </w:tr>
      <w:tr w:rsidR="001D4CA1" w:rsidRPr="00BE6790" w14:paraId="6CC7B673" w14:textId="77777777" w:rsidTr="001D4CA1">
        <w:tc>
          <w:tcPr>
            <w:tcW w:w="694" w:type="dxa"/>
          </w:tcPr>
          <w:p w14:paraId="56DB008E" w14:textId="77777777" w:rsidR="001D4CA1" w:rsidRPr="00BE6790" w:rsidRDefault="001D4CA1" w:rsidP="006A7A15">
            <w:pPr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2AB119EF" w14:textId="38635E8C" w:rsidR="001D4CA1" w:rsidRPr="00BE6790" w:rsidRDefault="001D4CA1" w:rsidP="006A7A15">
            <w:pPr>
              <w:jc w:val="both"/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Dotyczy Załącznika 2a i 2b do SIWZ</w:t>
            </w:r>
          </w:p>
        </w:tc>
        <w:tc>
          <w:tcPr>
            <w:tcW w:w="2840" w:type="dxa"/>
          </w:tcPr>
          <w:p w14:paraId="673CB133" w14:textId="77777777" w:rsidR="001D4CA1" w:rsidRPr="00BE6790" w:rsidRDefault="001D4CA1" w:rsidP="006A7A15">
            <w:pPr>
              <w:rPr>
                <w:rFonts w:ascii="Arial" w:hAnsi="Arial" w:cs="Arial"/>
              </w:rPr>
            </w:pPr>
          </w:p>
        </w:tc>
      </w:tr>
      <w:tr w:rsidR="001D4CA1" w:rsidRPr="00BE6790" w14:paraId="3D2A0816" w14:textId="77777777" w:rsidTr="001D4CA1">
        <w:tc>
          <w:tcPr>
            <w:tcW w:w="694" w:type="dxa"/>
          </w:tcPr>
          <w:p w14:paraId="1FAE3E76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1DFEC722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 xml:space="preserve">Pytanie nr.1 </w:t>
            </w:r>
          </w:p>
          <w:p w14:paraId="522A32B3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pkt.39 Załącznika 2a do SIWZ rezonans magnetyczny</w:t>
            </w:r>
          </w:p>
          <w:p w14:paraId="5638DCA7" w14:textId="412820A3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</w:rPr>
              <w:t xml:space="preserve"> </w:t>
            </w:r>
            <w:r w:rsidRPr="00BE6790">
              <w:rPr>
                <w:rFonts w:ascii="Arial" w:hAnsi="Arial" w:cs="Arial"/>
                <w:u w:val="single"/>
              </w:rPr>
              <w:t xml:space="preserve">Prosimy o potwierdzenie, że Zamawiający zmodyfikuje treść punktu 39 Załącznika 2a tak jak zaproponowano poniżej:  </w:t>
            </w:r>
          </w:p>
          <w:p w14:paraId="5E75D92B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</w:p>
          <w:tbl>
            <w:tblPr>
              <w:tblW w:w="105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610"/>
              <w:gridCol w:w="5066"/>
              <w:gridCol w:w="2257"/>
              <w:gridCol w:w="2592"/>
            </w:tblGrid>
            <w:tr w:rsidR="001D4CA1" w:rsidRPr="00BE6790" w14:paraId="2077EC8C" w14:textId="77777777" w:rsidTr="001D4CA1">
              <w:tc>
                <w:tcPr>
                  <w:tcW w:w="610" w:type="dxa"/>
                </w:tcPr>
                <w:p w14:paraId="6A19330A" w14:textId="77777777" w:rsidR="001D4CA1" w:rsidRPr="00BE6790" w:rsidRDefault="001D4CA1" w:rsidP="003A5802">
                  <w:pPr>
                    <w:pStyle w:val="Nagwek1"/>
                    <w:spacing w:before="14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BE6790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39.</w:t>
                  </w:r>
                </w:p>
              </w:tc>
              <w:tc>
                <w:tcPr>
                  <w:tcW w:w="5066" w:type="dxa"/>
                </w:tcPr>
                <w:p w14:paraId="63C80077" w14:textId="77777777" w:rsidR="001D4CA1" w:rsidRPr="00BE6790" w:rsidRDefault="001D4CA1" w:rsidP="003A5802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Maksymalna liczba rzeczywistych niezależnych równoległych kanałów odbiorczych odbiornika RF, które mogą być używane jednocześnie w pojedynczym skanie i pojedynczym 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FoV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>, z których każdy generuje niezależny obraz cząstkowy ≥ 48 lub system z cyfrowym torem odbiorczym RF z cewkami posiadającymi indywidualne przetworniki analogowo cyfrowe, podłączane do systemu łączem światłowodowym</w:t>
                  </w:r>
                </w:p>
              </w:tc>
              <w:tc>
                <w:tcPr>
                  <w:tcW w:w="2257" w:type="dxa"/>
                </w:tcPr>
                <w:p w14:paraId="0AC6BC69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TAK, podać typ rozwiązania</w:t>
                  </w:r>
                </w:p>
              </w:tc>
              <w:tc>
                <w:tcPr>
                  <w:tcW w:w="2592" w:type="dxa"/>
                </w:tcPr>
                <w:p w14:paraId="0536C032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  <w:u w:val="single"/>
                    </w:rPr>
                  </w:pPr>
                </w:p>
              </w:tc>
            </w:tr>
          </w:tbl>
          <w:p w14:paraId="140F3A14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 xml:space="preserve">Uzasadnienie: </w:t>
            </w:r>
          </w:p>
          <w:p w14:paraId="08405C80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 treści specyfikacji opisanej przez Zamawiającego w tym postępowaniu, wymagana maksymalna liczba niezależnych kanałów odbiorczych odbiornika RF nie koresponduje bezpośrednio z wymaganiami dotyczącymi cewek. W sekcji „cewki” w punkcie 49. Zamawiający wymaga maksymalnie 48 kanałów lub elementów obrazujących w badaniu całego centralnego układu nerwowego, a takie badanie realizowane jest poprzez obrazowanie kilku obszarów anatomicznych (głowa + odcinek szyjny kręgosłupa, odcinek piersiowy i lędźwiowy) wykraczających znacznie poza zakres pojedynczego FOV, który Zamawiający </w:t>
            </w:r>
            <w:r w:rsidRPr="00BE6790">
              <w:rPr>
                <w:rFonts w:ascii="Arial" w:hAnsi="Arial" w:cs="Arial"/>
              </w:rPr>
              <w:lastRenderedPageBreak/>
              <w:t xml:space="preserve">definiuje w punkcie 67 i wynosi on 50 cm. W pozostałych punktach tej sekcji, Zamawiający nie specyfikuje w żadnym punkcie wymogu wykorzystania aż 64 kanałów odbiorczych, co dodatkowo dowodzi, że wartość ta jest wartością przeszacowaną. </w:t>
            </w:r>
          </w:p>
          <w:p w14:paraId="28295432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Maksymalna liczba 48 kanałów odbiorczych w pojedynczym skanie i FOV jest wartością zupełnie wystarczającą do diagnostyki pacjentów w pełnym zakresie i koresponduje z wymaganiami Zamawiającego dotyczącymi cewek opisanych w pozostałych punktach SIWZ. </w:t>
            </w:r>
          </w:p>
          <w:p w14:paraId="2D2EAD17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wymagając aż 64 kanałów w pojedynczym skanie oraz w pojedynczym FOV, bez praktycznego wykorzystania z użyciem cewek, prowadzi do zaburzenia uczciwej konkurencji.</w:t>
            </w:r>
          </w:p>
          <w:p w14:paraId="7A9EFB26" w14:textId="3B78D9B8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Proponowana zmiana jest w interesie Zamawiającego, gdyż przywraca konkurencyjność postępowania oraz umożliwia naszej firmie złożenie ważnej oferty.  </w:t>
            </w:r>
          </w:p>
        </w:tc>
        <w:tc>
          <w:tcPr>
            <w:tcW w:w="2840" w:type="dxa"/>
          </w:tcPr>
          <w:p w14:paraId="4015C92E" w14:textId="25CA7DD5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lastRenderedPageBreak/>
              <w:t>Zamawiający podtrzymuje zapisy SIWZ.</w:t>
            </w:r>
          </w:p>
        </w:tc>
      </w:tr>
      <w:tr w:rsidR="001D4CA1" w:rsidRPr="00BE6790" w14:paraId="675B43E1" w14:textId="77777777" w:rsidTr="001D4CA1">
        <w:tc>
          <w:tcPr>
            <w:tcW w:w="694" w:type="dxa"/>
          </w:tcPr>
          <w:p w14:paraId="303B0C9A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69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0AA78308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 xml:space="preserve">Pytanie nr.2 </w:t>
            </w:r>
          </w:p>
          <w:p w14:paraId="43E25D49" w14:textId="26452CC8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 99 Załącznika nr 2a do SIWZ rezonans magnetyczny</w:t>
            </w:r>
          </w:p>
          <w:tbl>
            <w:tblPr>
              <w:tblW w:w="9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4395"/>
              <w:gridCol w:w="2410"/>
              <w:gridCol w:w="2410"/>
            </w:tblGrid>
            <w:tr w:rsidR="001D4CA1" w:rsidRPr="00BE6790" w14:paraId="4888901C" w14:textId="77777777" w:rsidTr="00C72648">
              <w:tc>
                <w:tcPr>
                  <w:tcW w:w="533" w:type="dxa"/>
                </w:tcPr>
                <w:p w14:paraId="5E218AE4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99</w:t>
                  </w:r>
                </w:p>
              </w:tc>
              <w:tc>
                <w:tcPr>
                  <w:tcW w:w="4395" w:type="dxa"/>
                  <w:shd w:val="clear" w:color="auto" w:fill="auto"/>
                </w:tcPr>
                <w:p w14:paraId="47DA30B5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Szybkość rekonstrukcji obrazu w matrycy min. 256x256 przy pełnym FOV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88B6E77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≥ 50 000 obrazów/s.</w:t>
                  </w:r>
                </w:p>
              </w:tc>
              <w:tc>
                <w:tcPr>
                  <w:tcW w:w="2410" w:type="dxa"/>
                </w:tcPr>
                <w:p w14:paraId="3819957C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A0D68C0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373F53A5" w14:textId="46D3AC54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 xml:space="preserve">Prosimy o potwierdzenie, czy Zamawiający dokona modyfikacji pkt.99 tak jak zaproponowano poniżej: </w:t>
            </w:r>
          </w:p>
          <w:tbl>
            <w:tblPr>
              <w:tblW w:w="9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4395"/>
              <w:gridCol w:w="2410"/>
              <w:gridCol w:w="2410"/>
            </w:tblGrid>
            <w:tr w:rsidR="001D4CA1" w:rsidRPr="00BE6790" w14:paraId="11567B95" w14:textId="77777777" w:rsidTr="00C72648">
              <w:tc>
                <w:tcPr>
                  <w:tcW w:w="533" w:type="dxa"/>
                </w:tcPr>
                <w:p w14:paraId="1378A222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99</w:t>
                  </w:r>
                </w:p>
              </w:tc>
              <w:tc>
                <w:tcPr>
                  <w:tcW w:w="4395" w:type="dxa"/>
                  <w:shd w:val="clear" w:color="auto" w:fill="auto"/>
                </w:tcPr>
                <w:p w14:paraId="15F0A6E1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Szybkość rekonstrukcji obrazu w matrycy min. 256x256 przy pełnym FOV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C3EC5E0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≥ 40 000 obrazów/s.</w:t>
                  </w:r>
                </w:p>
              </w:tc>
              <w:tc>
                <w:tcPr>
                  <w:tcW w:w="2410" w:type="dxa"/>
                </w:tcPr>
                <w:p w14:paraId="1F3A0ECC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955FC1D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62B5A8B8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Tak zdefiniowany parametr uniemożliwia naszej firmie złożenie ważnej i konkurencyjnej oferty w tym postępowaniu, dlatego prosimy o modyfikacje tak jak zaproponowano powyżej. </w:t>
            </w:r>
          </w:p>
          <w:p w14:paraId="6E167FEB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70365BD8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Przykładowo: praca z szybkością rekonstrukcji wynoszącą 40 000 obrazów na podczas badania rutynowego, np. MR głowy trwającego ok. 15-20 minut, dałaby 10-15 milionów obrazów. Tymczasem w praktyce w takim badaniu wykonuje się ok 200-250 obrazów. Zatem żadna wartość powyżej granicznej nie będzie miała wpływu na jakość oraz szybkość pracy.</w:t>
            </w:r>
          </w:p>
          <w:p w14:paraId="706E68D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645F3DB8" w14:textId="78619F9E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Dlatego wnosimy o modyfikację zapisu tego parametru i dopuszczenie wiodącego producenta rezonansów magnetycznych do złożenia ważnej i konkurencyjnej oferty.</w:t>
            </w:r>
          </w:p>
        </w:tc>
        <w:tc>
          <w:tcPr>
            <w:tcW w:w="2840" w:type="dxa"/>
          </w:tcPr>
          <w:p w14:paraId="34CFAA84" w14:textId="644A083A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podtrzymuje zapisy SIWZ.</w:t>
            </w:r>
          </w:p>
        </w:tc>
      </w:tr>
      <w:tr w:rsidR="001D4CA1" w:rsidRPr="00BE6790" w14:paraId="20BBC29A" w14:textId="77777777" w:rsidTr="001D4CA1">
        <w:tc>
          <w:tcPr>
            <w:tcW w:w="694" w:type="dxa"/>
          </w:tcPr>
          <w:p w14:paraId="4D9574F1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366840B7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nr.3</w:t>
            </w:r>
          </w:p>
          <w:p w14:paraId="58878CB0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 3,4,5,6 Załącznika nr 2b do SIWZ rezonans magnetyczny</w:t>
            </w:r>
          </w:p>
          <w:p w14:paraId="54F6B5F6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 xml:space="preserve">Prosimy o potwierdzenie, czy Zamawiający usunie punkty 3,4,5,6 dotyczące Załącznika 2b ze specyfikacji? </w:t>
            </w:r>
          </w:p>
          <w:p w14:paraId="17AF8C71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44AB7802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79B43251" w14:textId="54355D1E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Zdefiniowane w wyżej wymienionych punktach Załącznika nr 2b do SIWZ są to jedynie parametry syntetyczne podawane przez producentów, zmierzone w warunkach laboratoryjnych, nie mające wpływu na jakość badań jak i funkcjonalność systemu MR. Opisany parametr jest własnością  magnesu , który nie przekłada się na praktyczne zastosowanie w przypadku bania pacjentów. Obecnie stosuje się wiele technik poprawiających jednorodność pola magnetycznego po wprowadzeniu pacjenta do skanera (do magnesu) , które umożliwiają rzeczywistą poprawę homogeniczności pola magnetycznego w badanym obszarze, co bezpośrednio wpływa na dużo lepszą jakość obrazowania.</w:t>
            </w:r>
          </w:p>
        </w:tc>
        <w:tc>
          <w:tcPr>
            <w:tcW w:w="2840" w:type="dxa"/>
          </w:tcPr>
          <w:p w14:paraId="072A8D96" w14:textId="7E9E6BEA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podtrzymuje zapisy SIWZ w punkcie 3.</w:t>
            </w:r>
          </w:p>
          <w:p w14:paraId="10FB356E" w14:textId="06867848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wprowadza korektę punktowania w punktach 4, 5, 6 Załącznika nr 2b.</w:t>
            </w:r>
          </w:p>
        </w:tc>
      </w:tr>
      <w:tr w:rsidR="001D4CA1" w:rsidRPr="00BE6790" w14:paraId="74AE6249" w14:textId="77777777" w:rsidTr="001D4CA1">
        <w:tc>
          <w:tcPr>
            <w:tcW w:w="694" w:type="dxa"/>
          </w:tcPr>
          <w:p w14:paraId="00F003FA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3F05DB65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nr.4</w:t>
            </w:r>
          </w:p>
          <w:p w14:paraId="4DD67F45" w14:textId="6D50FC15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 34 oraz 35 Załącznika nr 2a do SIWZ rezonans magnetyczny</w:t>
            </w:r>
          </w:p>
          <w:p w14:paraId="38DD51C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Prosimy o potwierdzenie, że Zamawiający w punkach 34 oraz 35 wymaga jednoczesnego uzyskania opisanych w tych punktach wartości dotyczących maksymalnej amplitudy gradientu pola magnetycznego oraz jego maksymalnej prędkości narastania? Obecny zapis jest niejednoznaczny i może prowadzić do zaoferowania systemów, które znacząco odbiegają od najwyższych technologii.  </w:t>
            </w:r>
          </w:p>
          <w:p w14:paraId="1D984094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 </w:t>
            </w:r>
          </w:p>
          <w:p w14:paraId="74F22117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Wymaganie jednoczesnego uzyskania maksymalnej amplitudy gradientu oraz jego maksymalnej prędkości narastania która wpływa na funkcjonowanie systemu i pozwalana na wykorzystanie go w pełnym spektrum badań zapewnia iż Zamawiający otrzyma system rezonansu magnetycznego najwyższej klasy. </w:t>
            </w:r>
          </w:p>
          <w:p w14:paraId="07EC5975" w14:textId="77777777" w:rsidR="001D4CA1" w:rsidRPr="00BE6790" w:rsidRDefault="001D4CA1" w:rsidP="003A5802">
            <w:pPr>
              <w:rPr>
                <w:rFonts w:ascii="Arial" w:eastAsia="Calibri" w:hAnsi="Arial" w:cs="Arial"/>
              </w:rPr>
            </w:pPr>
          </w:p>
          <w:p w14:paraId="113098C6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1061B169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Maksymalna rzeczywista wartość amplitudy gradientu pola magnetycznego wytwarzanego przez układ cewek gradientowych dla każdej z osi jednocześnie w max. FOV i max. oferowanej prędkości narastania gradientu to jeden z najważniejszych parametrów w aspekcie rezonansu magnetycznego . Dlatego prosimy o wprowadzeni wymogu jednoczesności parametrów opisanych w punktach 34 i 35 </w:t>
            </w:r>
            <w:r w:rsidRPr="00BE6790">
              <w:rPr>
                <w:rFonts w:ascii="Arial" w:hAnsi="Arial" w:cs="Arial"/>
                <w:b/>
                <w:bCs/>
              </w:rPr>
              <w:t xml:space="preserve">Załącznika nr 2a do SIWZ, </w:t>
            </w:r>
            <w:r w:rsidRPr="00BE6790">
              <w:rPr>
                <w:rFonts w:ascii="Arial" w:hAnsi="Arial" w:cs="Arial"/>
              </w:rPr>
              <w:t>co jest korzystne dla Zamawiającego.</w:t>
            </w:r>
            <w:r w:rsidRPr="00BE6790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2D542CC" w14:textId="4776A1D6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1A704FB3" w14:textId="6FC10BE4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podtrzymuje zapisy SIWZ.</w:t>
            </w:r>
          </w:p>
        </w:tc>
      </w:tr>
      <w:tr w:rsidR="001D4CA1" w:rsidRPr="00BE6790" w14:paraId="13D91AB7" w14:textId="77777777" w:rsidTr="001D4CA1">
        <w:tc>
          <w:tcPr>
            <w:tcW w:w="694" w:type="dxa"/>
          </w:tcPr>
          <w:p w14:paraId="0E117BE4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4A1DF8D3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nr 5</w:t>
            </w:r>
          </w:p>
          <w:p w14:paraId="7ADF8E9D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 34 Załącznika nr.2b do SIWZ rezonans magnetyczny</w:t>
            </w:r>
          </w:p>
          <w:p w14:paraId="6D6F26AD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</w:p>
          <w:tbl>
            <w:tblPr>
              <w:tblW w:w="9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4395"/>
              <w:gridCol w:w="2410"/>
              <w:gridCol w:w="2410"/>
            </w:tblGrid>
            <w:tr w:rsidR="001D4CA1" w:rsidRPr="00BE6790" w14:paraId="535D20F0" w14:textId="77777777" w:rsidTr="00C72648">
              <w:tc>
                <w:tcPr>
                  <w:tcW w:w="533" w:type="dxa"/>
                </w:tcPr>
                <w:p w14:paraId="5C2BAE9C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34.</w:t>
                  </w:r>
                </w:p>
              </w:tc>
              <w:tc>
                <w:tcPr>
                  <w:tcW w:w="4395" w:type="dxa"/>
                  <w:shd w:val="clear" w:color="auto" w:fill="auto"/>
                </w:tcPr>
                <w:p w14:paraId="12D688F1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Specjalna sekwencja 3D pracująca z parametrem TE ≤ 20 µs, widocznym w parametrach sekwencji, możliwa do wykonania co najmniej na jednej z zaoferowanych cewek wielokanałowych.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B50391A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 – 1pkt.</w:t>
                  </w:r>
                </w:p>
                <w:p w14:paraId="5FAB7315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NIE – 0pkt</w:t>
                  </w:r>
                </w:p>
              </w:tc>
              <w:tc>
                <w:tcPr>
                  <w:tcW w:w="2410" w:type="dxa"/>
                </w:tcPr>
                <w:p w14:paraId="4F6AE843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36C585C8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52AA2764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 xml:space="preserve">Prosimy o potwierdzenie, czy Zamawiający dokona modyfikacji pkt.34 tak jak zaproponowano poniżej: </w:t>
            </w:r>
          </w:p>
          <w:p w14:paraId="64B60A15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 xml:space="preserve"> </w:t>
            </w:r>
          </w:p>
          <w:tbl>
            <w:tblPr>
              <w:tblW w:w="97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4395"/>
              <w:gridCol w:w="2410"/>
              <w:gridCol w:w="2410"/>
            </w:tblGrid>
            <w:tr w:rsidR="001D4CA1" w:rsidRPr="00BE6790" w14:paraId="78887370" w14:textId="77777777" w:rsidTr="00C72648">
              <w:tc>
                <w:tcPr>
                  <w:tcW w:w="533" w:type="dxa"/>
                </w:tcPr>
                <w:p w14:paraId="36ADB0E7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34</w:t>
                  </w:r>
                </w:p>
              </w:tc>
              <w:tc>
                <w:tcPr>
                  <w:tcW w:w="4395" w:type="dxa"/>
                  <w:shd w:val="clear" w:color="auto" w:fill="auto"/>
                </w:tcPr>
                <w:p w14:paraId="40686FA0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Specjalna sekwencja 3D pracująca z parametrem TE ≤ 70 µs, widocznym w parametrach sekwencji, możliwa do wykonania co najmniej na jednej z zaoferowanych cewek wielokanałowych.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18F2193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 – 1pkt.</w:t>
                  </w:r>
                </w:p>
                <w:p w14:paraId="6B07ACB6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NIE – 0pkt</w:t>
                  </w:r>
                </w:p>
              </w:tc>
              <w:tc>
                <w:tcPr>
                  <w:tcW w:w="2410" w:type="dxa"/>
                </w:tcPr>
                <w:p w14:paraId="2079B7AF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5C178BD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0A41B79D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162DCA6B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Obecnie opisany parametr faworyzuje rozwiązanie firmy GE, dlatego prosimy o modyfikację aby umożliwić zaoferowanie rozwiązań w pełni równoważnych. </w:t>
            </w:r>
          </w:p>
          <w:p w14:paraId="75BB302D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lastRenderedPageBreak/>
              <w:t>Dlatego w interesie Zamawiającego jest wprowadzenie powyższej modyfikacji, aby umożliwić uczciwą konkurencję w tym postępowaniu .</w:t>
            </w:r>
          </w:p>
          <w:p w14:paraId="4FCA97DE" w14:textId="2D2B5A0C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2A3108C6" w14:textId="5BF20A56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lastRenderedPageBreak/>
              <w:t>Zamawiający podtrzymuje zapisy SIWZ.</w:t>
            </w:r>
          </w:p>
        </w:tc>
      </w:tr>
      <w:tr w:rsidR="001D4CA1" w:rsidRPr="00BE6790" w14:paraId="6F1586B7" w14:textId="77777777" w:rsidTr="001D4CA1">
        <w:tc>
          <w:tcPr>
            <w:tcW w:w="694" w:type="dxa"/>
          </w:tcPr>
          <w:p w14:paraId="41BB301A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4F6F0CFF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6</w:t>
            </w:r>
          </w:p>
          <w:p w14:paraId="72527D42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 27 Załącznika nr. 2a oraz 2b do SIWZ rezonans magnetyczny</w:t>
            </w:r>
          </w:p>
          <w:p w14:paraId="619C3905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41447252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Prosimy o potwierdzenie, że Zamawiający wprowadzi punktację za punkt 27 oraz doda go do Załącznika 2b:</w:t>
            </w:r>
          </w:p>
          <w:p w14:paraId="79E29724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tbl>
            <w:tblPr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5104"/>
              <w:gridCol w:w="2268"/>
              <w:gridCol w:w="2693"/>
            </w:tblGrid>
            <w:tr w:rsidR="001D4CA1" w:rsidRPr="00BE6790" w14:paraId="61E786C0" w14:textId="77777777" w:rsidTr="00C72648">
              <w:tc>
                <w:tcPr>
                  <w:tcW w:w="533" w:type="dxa"/>
                </w:tcPr>
                <w:p w14:paraId="04CD3ABD" w14:textId="77777777" w:rsidR="001D4CA1" w:rsidRPr="00BE6790" w:rsidRDefault="001D4CA1" w:rsidP="003A5802">
                  <w:pPr>
                    <w:rPr>
                      <w:rFonts w:ascii="Arial" w:hAnsi="Arial" w:cs="Arial"/>
                      <w:bCs/>
                    </w:rPr>
                  </w:pPr>
                  <w:r w:rsidRPr="00BE6790">
                    <w:rPr>
                      <w:rFonts w:ascii="Arial" w:hAnsi="Arial" w:cs="Arial"/>
                      <w:bCs/>
                    </w:rPr>
                    <w:t>27.</w:t>
                  </w:r>
                </w:p>
              </w:tc>
              <w:tc>
                <w:tcPr>
                  <w:tcW w:w="5104" w:type="dxa"/>
                </w:tcPr>
                <w:p w14:paraId="50532579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Technologia umożliwiająca korektę homogeniczność pola w badanym obszarze, poprzez 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shimowanie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każdej warstwy a nie objętości, poprawiająca jakość obrazowania oraz eliminująca artefakty m.in. tzw. artefakty połamanego kręgosłupa w obrazowaniu DWI oraz poprawiająca jakość badań TSE/FSE z saturacją tłuszczu (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Slice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Adjust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>) lub równoważne, zgodnie z nomenklaturą producenta.</w:t>
                  </w:r>
                </w:p>
              </w:tc>
              <w:tc>
                <w:tcPr>
                  <w:tcW w:w="2268" w:type="dxa"/>
                </w:tcPr>
                <w:p w14:paraId="20D1715E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Tak/Nie;</w:t>
                  </w:r>
                </w:p>
                <w:p w14:paraId="1DF6F7E5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jeżeli tak – podać nazwę</w:t>
                  </w:r>
                </w:p>
              </w:tc>
              <w:tc>
                <w:tcPr>
                  <w:tcW w:w="2693" w:type="dxa"/>
                </w:tcPr>
                <w:p w14:paraId="2690D061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Tak- 2 pkt</w:t>
                  </w:r>
                </w:p>
                <w:p w14:paraId="1C96D7F5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Nie- 0 pkt</w:t>
                  </w:r>
                </w:p>
              </w:tc>
            </w:tr>
          </w:tbl>
          <w:p w14:paraId="0A296F29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729A3196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206D4274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 treści SIWZ dotyczącej parametrów granicznych (Załącznik 2a) oraz ocenianych (Załącznik 2b) prawdopodobnie popełniono omyłkę pisarską, gdyż Zamawiający opisuje ten parametr w Załączniku 2a z wymagając odpowiedzi „Tak/Nie” , natomiast brak tego punktu w Załączniku 2b skutkuje brakiem możliwości premiowania tego parametru, co jest niespójne z pozostałymi parametrami ocenianymi opisanymi w SIWZ. Prosimy o poprawienie omyłki oraz wprowadzenie punktacji za ten parametr. </w:t>
            </w:r>
          </w:p>
          <w:p w14:paraId="453131C2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0B4EB0ED" w14:textId="6F835D48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podtrzymuje zapisy SIWZ.</w:t>
            </w:r>
          </w:p>
        </w:tc>
      </w:tr>
      <w:tr w:rsidR="001D4CA1" w:rsidRPr="00BE6790" w14:paraId="0390BCC3" w14:textId="77777777" w:rsidTr="001D4CA1">
        <w:tc>
          <w:tcPr>
            <w:tcW w:w="694" w:type="dxa"/>
          </w:tcPr>
          <w:p w14:paraId="0726C282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237B2490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7</w:t>
            </w:r>
          </w:p>
          <w:p w14:paraId="463669BA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pkt. 54 oraz 55 Załącznika nr. 2a oraz 2b do SIWZ rezonans magnetyczny</w:t>
            </w:r>
          </w:p>
          <w:p w14:paraId="3082CE00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2525B024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Prosimy o potwierdzenie, czy Zamawiający wprowadzi punktację w pkt.54 oraz 55  za zaoferowanie cewek elastycznych o ilości kanałów &gt; 16  tak jak zaproponowano poniżej?:</w:t>
            </w:r>
          </w:p>
          <w:p w14:paraId="31E31C43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</w:p>
          <w:tbl>
            <w:tblPr>
              <w:tblW w:w="105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533"/>
              <w:gridCol w:w="5104"/>
              <w:gridCol w:w="2268"/>
              <w:gridCol w:w="2693"/>
            </w:tblGrid>
            <w:tr w:rsidR="001D4CA1" w:rsidRPr="00BE6790" w14:paraId="0FD90A90" w14:textId="77777777" w:rsidTr="00C72648">
              <w:tc>
                <w:tcPr>
                  <w:tcW w:w="533" w:type="dxa"/>
                </w:tcPr>
                <w:p w14:paraId="70BFFF3E" w14:textId="77777777" w:rsidR="001D4CA1" w:rsidRPr="00BE6790" w:rsidRDefault="001D4CA1" w:rsidP="003A5802">
                  <w:pPr>
                    <w:rPr>
                      <w:rFonts w:ascii="Arial" w:hAnsi="Arial" w:cs="Arial"/>
                      <w:bCs/>
                    </w:rPr>
                  </w:pPr>
                  <w:r w:rsidRPr="00BE6790">
                    <w:rPr>
                      <w:rFonts w:ascii="Arial" w:hAnsi="Arial" w:cs="Arial"/>
                      <w:bCs/>
                    </w:rPr>
                    <w:t>54</w:t>
                  </w:r>
                </w:p>
              </w:tc>
              <w:tc>
                <w:tcPr>
                  <w:tcW w:w="5104" w:type="dxa"/>
                </w:tcPr>
                <w:p w14:paraId="10AFE39D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Cewka elastyczna (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płachtowa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lub typu 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loop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>) do badań małych stawów, stawów obrzękniętych, w opatrunku itp. o min. 8  kanałach lub elementach</w:t>
                  </w:r>
                </w:p>
              </w:tc>
              <w:tc>
                <w:tcPr>
                  <w:tcW w:w="2268" w:type="dxa"/>
                </w:tcPr>
                <w:p w14:paraId="46BBBBB3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</w:t>
                  </w:r>
                </w:p>
                <w:p w14:paraId="2B1CAEAD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Podać liczbę kanałów lub elementów</w:t>
                  </w:r>
                </w:p>
              </w:tc>
              <w:tc>
                <w:tcPr>
                  <w:tcW w:w="2693" w:type="dxa"/>
                </w:tcPr>
                <w:p w14:paraId="0665E4DD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Cewka</w:t>
                  </w:r>
                </w:p>
                <w:p w14:paraId="0E09A6BD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 &gt; 16 kanałów – 2 pkt </w:t>
                  </w:r>
                </w:p>
                <w:p w14:paraId="234E59D5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≤16 kanałów – 0 pkt </w:t>
                  </w:r>
                </w:p>
              </w:tc>
            </w:tr>
            <w:tr w:rsidR="001D4CA1" w:rsidRPr="00BE6790" w14:paraId="1553E5E6" w14:textId="77777777" w:rsidTr="00C72648">
              <w:tc>
                <w:tcPr>
                  <w:tcW w:w="533" w:type="dxa"/>
                </w:tcPr>
                <w:p w14:paraId="1476E30C" w14:textId="77777777" w:rsidR="001D4CA1" w:rsidRPr="00BE6790" w:rsidRDefault="001D4CA1" w:rsidP="003A5802">
                  <w:pPr>
                    <w:rPr>
                      <w:rFonts w:ascii="Arial" w:hAnsi="Arial" w:cs="Arial"/>
                      <w:bCs/>
                    </w:rPr>
                  </w:pPr>
                  <w:r w:rsidRPr="00BE6790">
                    <w:rPr>
                      <w:rFonts w:ascii="Arial" w:hAnsi="Arial" w:cs="Arial"/>
                      <w:bCs/>
                    </w:rPr>
                    <w:t>55</w:t>
                  </w:r>
                </w:p>
              </w:tc>
              <w:tc>
                <w:tcPr>
                  <w:tcW w:w="5104" w:type="dxa"/>
                </w:tcPr>
                <w:p w14:paraId="2FF107B2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Cewka elastyczna (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płachtowa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lub typu 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loop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>) do badań dużych stawów, stawów obrzękniętych, w opatrunku itp. o min. 8 kanałach lub elementach</w:t>
                  </w:r>
                </w:p>
              </w:tc>
              <w:tc>
                <w:tcPr>
                  <w:tcW w:w="2268" w:type="dxa"/>
                </w:tcPr>
                <w:p w14:paraId="4CC10451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</w:t>
                  </w:r>
                </w:p>
                <w:p w14:paraId="23CF6A4C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Podać liczbę kanałów lub elementów</w:t>
                  </w:r>
                </w:p>
              </w:tc>
              <w:tc>
                <w:tcPr>
                  <w:tcW w:w="2693" w:type="dxa"/>
                </w:tcPr>
                <w:p w14:paraId="672DBB66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Cewka</w:t>
                  </w:r>
                </w:p>
                <w:p w14:paraId="607B376E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 xml:space="preserve"> &gt; 16 kanałów – 2 pkt </w:t>
                  </w:r>
                </w:p>
                <w:p w14:paraId="720A6F11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≤16 kanałów – 0 pkt</w:t>
                  </w:r>
                </w:p>
              </w:tc>
            </w:tr>
          </w:tbl>
          <w:p w14:paraId="448F8566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</w:p>
          <w:p w14:paraId="50FD6967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24C17BF9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</w:rPr>
              <w:lastRenderedPageBreak/>
              <w:t xml:space="preserve">Opisana powyżej funkcjonalność umożliwi Zamawiającemu różnicowanie dostępnych na rynku rozwiązań, oraz premiowanie bardzo istotnego parametru, który znajduje praktyczne zastosowanie w codziennej pracy systemu w zakresie obrazowania wielu obszarów anatomicznych. </w:t>
            </w:r>
          </w:p>
          <w:p w14:paraId="2DBDB3FC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Dlatego w interesie Zamawiającego jest wprowadzenie powyższej punktacji do specyfikacji. </w:t>
            </w:r>
          </w:p>
          <w:p w14:paraId="7500B0CB" w14:textId="732A46E3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368B4519" w14:textId="1D9E7D68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lastRenderedPageBreak/>
              <w:t>Zamawiający podtrzymuje zapisy SIWZ.</w:t>
            </w:r>
          </w:p>
        </w:tc>
      </w:tr>
      <w:tr w:rsidR="001D4CA1" w:rsidRPr="00BE6790" w14:paraId="4463D185" w14:textId="77777777" w:rsidTr="001D4CA1">
        <w:tc>
          <w:tcPr>
            <w:tcW w:w="694" w:type="dxa"/>
          </w:tcPr>
          <w:p w14:paraId="0E583210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  <w:tcBorders>
              <w:bottom w:val="single" w:sz="4" w:space="0" w:color="auto"/>
            </w:tcBorders>
          </w:tcPr>
          <w:p w14:paraId="37B2AC88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8</w:t>
            </w:r>
          </w:p>
          <w:p w14:paraId="5C91A0EA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Dot. Załącznika nr. 2a oraz 2b do SIWZ rezonans magnetyczny</w:t>
            </w:r>
          </w:p>
          <w:p w14:paraId="59D72419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</w:p>
          <w:p w14:paraId="2D90ACEC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Prosimy o potwierdzenie, czy Zamawiający wprowadzi dodatkowy punkt do specyfikacji  tak jak zaproponowano poniżej:</w:t>
            </w:r>
          </w:p>
          <w:p w14:paraId="2246AB69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</w:p>
          <w:tbl>
            <w:tblPr>
              <w:tblW w:w="9663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6"/>
              <w:gridCol w:w="4999"/>
              <w:gridCol w:w="2206"/>
              <w:gridCol w:w="1972"/>
            </w:tblGrid>
            <w:tr w:rsidR="001D4CA1" w:rsidRPr="00BE6790" w14:paraId="59FAA4D8" w14:textId="77777777" w:rsidTr="00C72648">
              <w:trPr>
                <w:trHeight w:val="590"/>
              </w:trPr>
              <w:tc>
                <w:tcPr>
                  <w:tcW w:w="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65" w:type="dxa"/>
                    <w:right w:w="65" w:type="dxa"/>
                  </w:tcMar>
                </w:tcPr>
                <w:p w14:paraId="0C2A8E2D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9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left w:w="65" w:type="dxa"/>
                    <w:right w:w="65" w:type="dxa"/>
                  </w:tcMar>
                </w:tcPr>
                <w:p w14:paraId="579CFC35" w14:textId="77777777" w:rsidR="001D4CA1" w:rsidRPr="00BE6790" w:rsidRDefault="001D4CA1" w:rsidP="003A5802">
                  <w:pPr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Technika służąca do drastycznej redukcji czasu akwizycji oraz zwiększenia rozdzielczości przestrzennej w badaniach TSE/FSE polegająca na pobudzeniu i odczycie wielu warstw jednocześnie bez utraty SNR wynikającego z pod-próbkowania, działająca w oparciu o wielopasmowy impuls pobudzający połączony z zaawansowaną ultraszybką akwizycją równoległą z możliwością wykorzystania co najmniej w badaniach głowy, kręgosłupa, stawów oraz piersi (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Simultaneous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Multi-</w:t>
                  </w:r>
                  <w:proofErr w:type="spellStart"/>
                  <w:r w:rsidRPr="00BE6790">
                    <w:rPr>
                      <w:rFonts w:ascii="Arial" w:hAnsi="Arial" w:cs="Arial"/>
                    </w:rPr>
                    <w:t>Slice</w:t>
                  </w:r>
                  <w:proofErr w:type="spellEnd"/>
                  <w:r w:rsidRPr="00BE6790">
                    <w:rPr>
                      <w:rFonts w:ascii="Arial" w:hAnsi="Arial" w:cs="Arial"/>
                    </w:rPr>
                    <w:t xml:space="preserve"> TSE, SMS-TSE, lub zgodnie z nomenklaturą producenta)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cMar>
                    <w:left w:w="65" w:type="dxa"/>
                    <w:right w:w="65" w:type="dxa"/>
                  </w:tcMar>
                </w:tcPr>
                <w:p w14:paraId="3C846F5F" w14:textId="77777777" w:rsidR="001D4CA1" w:rsidRPr="00BE6790" w:rsidRDefault="001D4CA1" w:rsidP="003A5802">
                  <w:pPr>
                    <w:spacing w:line="0" w:lineRule="atLeast"/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Tak/Nie</w:t>
                  </w:r>
                </w:p>
                <w:p w14:paraId="3FB15B7D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Jeżeli Tak, podać nazwę</w:t>
                  </w:r>
                </w:p>
              </w:tc>
              <w:tc>
                <w:tcPr>
                  <w:tcW w:w="1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0FAB4C" w14:textId="77777777" w:rsidR="001D4CA1" w:rsidRPr="00BE6790" w:rsidRDefault="001D4CA1" w:rsidP="003A5802">
                  <w:pPr>
                    <w:spacing w:line="0" w:lineRule="atLeast"/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Tak- 5 pkt</w:t>
                  </w:r>
                </w:p>
                <w:p w14:paraId="7E2B30C3" w14:textId="77777777" w:rsidR="001D4CA1" w:rsidRPr="00BE6790" w:rsidRDefault="001D4CA1" w:rsidP="003A5802">
                  <w:pPr>
                    <w:jc w:val="center"/>
                    <w:rPr>
                      <w:rFonts w:ascii="Arial" w:hAnsi="Arial" w:cs="Arial"/>
                    </w:rPr>
                  </w:pPr>
                  <w:r w:rsidRPr="00BE6790">
                    <w:rPr>
                      <w:rFonts w:ascii="Arial" w:hAnsi="Arial" w:cs="Arial"/>
                    </w:rPr>
                    <w:t>Nie – 0 pkt</w:t>
                  </w:r>
                </w:p>
              </w:tc>
            </w:tr>
          </w:tbl>
          <w:p w14:paraId="7F92E3FB" w14:textId="77777777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</w:p>
          <w:p w14:paraId="41411B81" w14:textId="77777777" w:rsidR="001D4CA1" w:rsidRPr="00BE6790" w:rsidRDefault="001D4CA1" w:rsidP="003A5802">
            <w:pPr>
              <w:rPr>
                <w:rFonts w:ascii="Arial" w:hAnsi="Arial" w:cs="Arial"/>
                <w:u w:val="single"/>
              </w:rPr>
            </w:pPr>
            <w:r w:rsidRPr="00BE6790">
              <w:rPr>
                <w:rFonts w:ascii="Arial" w:hAnsi="Arial" w:cs="Arial"/>
                <w:u w:val="single"/>
              </w:rPr>
              <w:t>Uzasadnienie:</w:t>
            </w:r>
          </w:p>
          <w:p w14:paraId="79C8FF7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Wyżej opisana technika umożliwia wykonywanie najbardziej zaawansowanych procedur w zakresie obrazowania zarówno w obrębie neurologii, ortopedii ale również innych obszarów anatomicznych. Technika ta umożliwia optymalizację czasu badania przy zachowaniu najwyższej jakości obrazowania co ma bezpośredni wpływ na najwyższa pewność diagnostyczną dla pacjenta. </w:t>
            </w:r>
          </w:p>
          <w:p w14:paraId="2EFEB0F6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7BD790B9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Dlatego w interesie Zamawiającego jest wprowadzenie powyższego punktu do specyfikacji.</w:t>
            </w:r>
          </w:p>
          <w:p w14:paraId="6885454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5BC0DC10" w14:textId="643DC822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podtrzymuje zapisy SIWZ.</w:t>
            </w:r>
          </w:p>
        </w:tc>
      </w:tr>
      <w:tr w:rsidR="001D4CA1" w:rsidRPr="00BE6790" w14:paraId="6E3459B3" w14:textId="77777777" w:rsidTr="001D4CA1">
        <w:tc>
          <w:tcPr>
            <w:tcW w:w="694" w:type="dxa"/>
          </w:tcPr>
          <w:p w14:paraId="14E11179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  <w:tcBorders>
              <w:bottom w:val="single" w:sz="4" w:space="0" w:color="auto"/>
            </w:tcBorders>
          </w:tcPr>
          <w:p w14:paraId="24C1F20E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Pytanie 1 dotyczy załącznika nr 2a rezonans magnetyczny pkt 2 w tabeli</w:t>
            </w:r>
          </w:p>
          <w:p w14:paraId="1968061B" w14:textId="22C48596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Czy Zamawiający potwierdza, że dostarczona dokumentacja techniczna ma umożliwić użytkownikowi diagnostykę urządzenia, wykonywanie drobnych napraw, regulacji i kalibracji w zakresie dopuszczonym przez producenta do wykonywania samodzielnie przez użytkownika? Producent urządzenia medycznego jest odpowiedzialny za skutki jego działania w całym okresie jego eksploatacji. Niewłaściwie wykonywane prace serwisowe stanowią zagrożenie dla życia i zdrowia pacjentów i dlatego powinny być wykonywane przez wykwalifikowane podmioty posiadające autoryzację producenta. Takie podmioty posiadają dokumentację techniczną i dostęp do funkcji serwisowych.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46BF07A9" w14:textId="6C81BF28" w:rsidR="001D4CA1" w:rsidRPr="00BE6790" w:rsidRDefault="001D4CA1" w:rsidP="003A5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SIWZ</w:t>
            </w:r>
          </w:p>
        </w:tc>
      </w:tr>
      <w:tr w:rsidR="001D4CA1" w:rsidRPr="00BE6790" w14:paraId="11455211" w14:textId="77777777" w:rsidTr="001D4CA1">
        <w:tc>
          <w:tcPr>
            <w:tcW w:w="694" w:type="dxa"/>
          </w:tcPr>
          <w:p w14:paraId="782D968B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  <w:tcBorders>
              <w:bottom w:val="single" w:sz="4" w:space="0" w:color="auto"/>
            </w:tcBorders>
          </w:tcPr>
          <w:p w14:paraId="50807334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Pytanie 2 dotyczy załącznika nr 2a rezonans magnetyczny pkt 7w tabeli</w:t>
            </w:r>
          </w:p>
          <w:p w14:paraId="07F54F68" w14:textId="5774459B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lastRenderedPageBreak/>
              <w:t>Czy Zamawiający wyrazi zgodę na modyfikację w/w zapisu na: W okresie trwania gwarancji w przypadku awarii całkowicie uniemożliwiającej pracę aparatury trwającej dłuższej niż 2 dni wykonawca zobowiązany jest do przedłużenia okresu gwarancji o czas trwania awarii.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68F3F476" w14:textId="727D667A" w:rsidR="001D4CA1" w:rsidRPr="00BE6790" w:rsidRDefault="001D4CA1" w:rsidP="003A5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Zgodnie z SIWZ</w:t>
            </w:r>
          </w:p>
        </w:tc>
      </w:tr>
      <w:tr w:rsidR="001D4CA1" w:rsidRPr="00BE6790" w14:paraId="09883825" w14:textId="77777777" w:rsidTr="001D4CA1">
        <w:tc>
          <w:tcPr>
            <w:tcW w:w="694" w:type="dxa"/>
          </w:tcPr>
          <w:p w14:paraId="30CCA6DD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11492" w:type="dxa"/>
            <w:tcBorders>
              <w:right w:val="nil"/>
            </w:tcBorders>
          </w:tcPr>
          <w:p w14:paraId="362A339E" w14:textId="5C4C0EFB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Dotyczy projektu umowy</w:t>
            </w:r>
          </w:p>
        </w:tc>
        <w:tc>
          <w:tcPr>
            <w:tcW w:w="2840" w:type="dxa"/>
            <w:tcBorders>
              <w:left w:val="nil"/>
            </w:tcBorders>
          </w:tcPr>
          <w:p w14:paraId="0C0B0B3E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</w:tr>
      <w:tr w:rsidR="001D4CA1" w:rsidRPr="00BE6790" w14:paraId="0FE852E4" w14:textId="77777777" w:rsidTr="001D4CA1">
        <w:tc>
          <w:tcPr>
            <w:tcW w:w="694" w:type="dxa"/>
          </w:tcPr>
          <w:p w14:paraId="3A19BD4B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03946549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Pytanie 1 dotyczy załącznika nr 3 do SWZ projekt umowy § 9</w:t>
            </w:r>
          </w:p>
          <w:p w14:paraId="6EFE543E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Czy Zamawiający wyrazi zgodę na dodanie ust. 7 w brzmieniu:</w:t>
            </w:r>
          </w:p>
          <w:p w14:paraId="2DF2CD9A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„Wykonawca ponosi bez ograniczeń umownych odpowiedzialność w zakresie, w jakim bezwzględne przepisy prawa nie pozwalają na zmianę lub ograniczenie odpowiedzialności odszkodowawczej. W pozostałym zakresie łączna odpowiedzialność odszkodowawcza Wykonawcy wynikająca z umowy lub pozostająca z nią w związku, niezależnie od podstaw prawnych dochodzonego roszczenia (w tym z tytułu kar umownych) ograniczona jest do wartości umowy netto. Wykonawca nie ponosi odpowiedzialności za utracone korzyści, utratę przychodów, utracone dane, utratę zysków, utratę możliwości eksploatacji, przerwy w pracy, koszty kapitałowe, odszkodowania i kary umowne płacone przez Zamawiającego swoim kontrahentom.”?</w:t>
            </w:r>
          </w:p>
          <w:p w14:paraId="087FB6CC" w14:textId="31D07CB4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Przedmiotowa prośba uzasadniona jest coraz szerszą międzynarodową praktyką, w której standardem są klauzule ograniczające odpowiedzialność odszkodowawczą Wykonawcy, w kontekście coraz powszechniejszej zasady, że odpowiedzialność Wykonawcy nie powinna przekraczać określonej części wynagrodzenia umownego Wykonawcy (min. klauzule takie funkcjonują w umowach Banku Światowego). Pragniemy zauważyć, że ograniczenie odpowiedzialności do konkretnej kwoty i do sytuacji, w których wystąpiła bezpośrednia strata Zamawiającego pozwoli na zaoferowanie znacznie niższej ceny, a wyznaczony pułap kar umownych i łącznej kwoty odpowiedzialności odszkodowawczej są i tak wystarczającym czynnikiem „motywującym” Wykonawcę do należytego, w tym terminowego wykonania umowy.</w:t>
            </w:r>
          </w:p>
        </w:tc>
        <w:tc>
          <w:tcPr>
            <w:tcW w:w="2840" w:type="dxa"/>
          </w:tcPr>
          <w:p w14:paraId="26946DB4" w14:textId="131604FC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Nie akceptujemy propozycji wykonawcy</w:t>
            </w:r>
          </w:p>
        </w:tc>
      </w:tr>
      <w:tr w:rsidR="001D4CA1" w:rsidRPr="00BE6790" w14:paraId="3FBFCA1C" w14:textId="77777777" w:rsidTr="001D4CA1">
        <w:tc>
          <w:tcPr>
            <w:tcW w:w="694" w:type="dxa"/>
          </w:tcPr>
          <w:p w14:paraId="351BD355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0371089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Pytanie 2 dotyczy załącznika nr 3 do SWZ projekt § 10</w:t>
            </w:r>
          </w:p>
          <w:p w14:paraId="2264748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Czy Zamawiający wyrazi zgodę na dodanie ust. 1 lit d) w brzmieniu:</w:t>
            </w:r>
          </w:p>
          <w:p w14:paraId="02D85FA7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„Zamawiający dopuszcza zmianę terminu wykonania przedmiotu umowy w części lub w całości na wniosek Wykonawcy uzasadniony przyczynami wynikającymi lub związanymi z epidemią Covid-19.”?</w:t>
            </w:r>
          </w:p>
          <w:p w14:paraId="07873B79" w14:textId="41DA4B01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Pomimo podejmowania przez pytającego i spółki z jego grupy kapitałowej wzmożonych starań w celu dotrzymania zadeklarowanych terminów dostaw i wykonania usług, z powodu epidemii wirusa Covid-19 i związanych z nią działań służb sanitarnych wielu państw, mogą wystąpić opóźnienia w dostawach i wykonaniu usług dotyczące pytającego, jego dostawców i podwykonawców. Dostawa/wykonanie usługi w konkretnym terminie uzależnione są od braku zakłóceń w łańcuchu dostaw, procesach produkcyjnych i logistycznych. Analogiczna sytuacja dotyczy innych wykonawców starających się o zamówienie</w:t>
            </w:r>
          </w:p>
        </w:tc>
        <w:tc>
          <w:tcPr>
            <w:tcW w:w="2840" w:type="dxa"/>
          </w:tcPr>
          <w:p w14:paraId="6A015165" w14:textId="3E32198C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informuje, że zmiana do umowy ze względu na Covid-19 będzie możliwa w oparciu o §3 ust 3 i 4 projektu umowy</w:t>
            </w:r>
          </w:p>
        </w:tc>
      </w:tr>
      <w:tr w:rsidR="001D4CA1" w:rsidRPr="00BE6790" w14:paraId="11EBBE37" w14:textId="77777777" w:rsidTr="001D4CA1">
        <w:tc>
          <w:tcPr>
            <w:tcW w:w="694" w:type="dxa"/>
          </w:tcPr>
          <w:p w14:paraId="0EB7A5B8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43259E0D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Pytanie 3 Dotyczy załącznika nr 3 wzór umowy, </w:t>
            </w:r>
          </w:p>
          <w:p w14:paraId="365D4269" w14:textId="6A9DCF46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§7 ust. 4„...Wykonawca jest zobowiązany do nieodpłatnego usuwania zaistniałych awarii powstałych w instalacji elektrycznej, teletechnicznej, </w:t>
            </w:r>
            <w:proofErr w:type="spellStart"/>
            <w:r w:rsidRPr="00BE6790">
              <w:rPr>
                <w:rFonts w:ascii="Arial" w:hAnsi="Arial" w:cs="Arial"/>
              </w:rPr>
              <w:t>wod-kan</w:t>
            </w:r>
            <w:proofErr w:type="spellEnd"/>
            <w:r w:rsidRPr="00BE6790">
              <w:rPr>
                <w:rFonts w:ascii="Arial" w:hAnsi="Arial" w:cs="Arial"/>
              </w:rPr>
              <w:t xml:space="preserve">, c.o. w ciągu 48 godzin od ich zgłoszenia (pocztą elektroniczną)...”Czy Zamawiający wyrazi zgodę na usunięcie niniejszego ustępu jako nieadekwatnego wymogu do przedmiotu </w:t>
            </w:r>
            <w:proofErr w:type="spellStart"/>
            <w:r w:rsidRPr="00BE6790">
              <w:rPr>
                <w:rFonts w:ascii="Arial" w:hAnsi="Arial" w:cs="Arial"/>
              </w:rPr>
              <w:t>umowy?W</w:t>
            </w:r>
            <w:proofErr w:type="spellEnd"/>
            <w:r w:rsidRPr="00BE6790">
              <w:rPr>
                <w:rFonts w:ascii="Arial" w:hAnsi="Arial" w:cs="Arial"/>
              </w:rPr>
              <w:t xml:space="preserve"> przypadku negatywnej odpowiedzi prosimy o </w:t>
            </w:r>
            <w:proofErr w:type="spellStart"/>
            <w:r w:rsidRPr="00BE6790">
              <w:rPr>
                <w:rFonts w:ascii="Arial" w:hAnsi="Arial" w:cs="Arial"/>
              </w:rPr>
              <w:t>doprecyzowanieo</w:t>
            </w:r>
            <w:proofErr w:type="spellEnd"/>
            <w:r w:rsidRPr="00BE6790">
              <w:rPr>
                <w:rFonts w:ascii="Arial" w:hAnsi="Arial" w:cs="Arial"/>
              </w:rPr>
              <w:t xml:space="preserve"> których części układu jest mowa.</w:t>
            </w:r>
          </w:p>
        </w:tc>
        <w:tc>
          <w:tcPr>
            <w:tcW w:w="2840" w:type="dxa"/>
          </w:tcPr>
          <w:p w14:paraId="77E4B9E4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§7 ust. 4 projektu umowy otrzymuje nowe brzmienie:</w:t>
            </w:r>
          </w:p>
          <w:p w14:paraId="1CBC4788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  <w:p w14:paraId="32C98352" w14:textId="7E10EEDD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 okresie gwarancji i rękojmi Wykonawca jest zobowiązany do nieodpłatnego usuwania zaistniałych w zmodernizowanych pomieszczeniach awarii </w:t>
            </w:r>
            <w:r w:rsidRPr="00BE6790">
              <w:rPr>
                <w:rFonts w:ascii="Arial" w:hAnsi="Arial" w:cs="Arial"/>
              </w:rPr>
              <w:lastRenderedPageBreak/>
              <w:t xml:space="preserve">powstałych w instalacji elektrycznej, teletechnicznej, </w:t>
            </w:r>
            <w:proofErr w:type="spellStart"/>
            <w:r w:rsidRPr="00BE6790">
              <w:rPr>
                <w:rFonts w:ascii="Arial" w:hAnsi="Arial" w:cs="Arial"/>
              </w:rPr>
              <w:t>wod-kan</w:t>
            </w:r>
            <w:proofErr w:type="spellEnd"/>
            <w:r w:rsidRPr="00BE6790">
              <w:rPr>
                <w:rFonts w:ascii="Arial" w:hAnsi="Arial" w:cs="Arial"/>
              </w:rPr>
              <w:t>, c.o. w ciągu 48 godzin od ich zgłoszenia (pocztą elektroniczną). W przypadku awarii urządzenia, termin ich usunięcia wynosi do 3 dni roboczych od daty jej zgłoszenia przez Zamawiającego, a w przypadku konieczności sprowadzenia części zamiennej spoza granic RP – do 6 dni roboczych. Jeżeli Wykonawca nie usunie w terminie, Zamawiający może zlecić ich usunięcie osobie trzeciej (innemu Wykonawcy) posiadającej autoryzację producenta urządzenia, na koszt i ryzyko Wykonawcy. O zamiarze powierzenia usunięcia wad osobie trzeciej Zamawiający powinien zawiadomić Wykonawcę, co najmniej na 3 dni wcześniej. Koszt usunięcia wad przez osobę trzecią zostanie potrącony z wynagrodzenia Wykonawcy lub zabezpieczenia należytego wykonania Umowy.</w:t>
            </w:r>
          </w:p>
        </w:tc>
      </w:tr>
      <w:tr w:rsidR="001D4CA1" w:rsidRPr="00BE6790" w14:paraId="7836CDD4" w14:textId="77777777" w:rsidTr="001D4CA1">
        <w:tc>
          <w:tcPr>
            <w:tcW w:w="694" w:type="dxa"/>
          </w:tcPr>
          <w:p w14:paraId="104ED18F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3ACA0F2D" w14:textId="5507BCEE" w:rsidR="001D4CA1" w:rsidRPr="00BE6790" w:rsidRDefault="001D4CA1" w:rsidP="003A5802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Dotyczy treści SWZ</w:t>
            </w:r>
          </w:p>
        </w:tc>
        <w:tc>
          <w:tcPr>
            <w:tcW w:w="2840" w:type="dxa"/>
          </w:tcPr>
          <w:p w14:paraId="74B4FBF9" w14:textId="77777777" w:rsidR="001D4CA1" w:rsidRPr="00BE6790" w:rsidRDefault="001D4CA1" w:rsidP="003A5802">
            <w:pPr>
              <w:rPr>
                <w:rFonts w:ascii="Arial" w:hAnsi="Arial" w:cs="Arial"/>
              </w:rPr>
            </w:pPr>
          </w:p>
        </w:tc>
      </w:tr>
      <w:tr w:rsidR="001D4CA1" w:rsidRPr="00BE6790" w14:paraId="44BA57FB" w14:textId="77777777" w:rsidTr="001D4CA1">
        <w:tc>
          <w:tcPr>
            <w:tcW w:w="694" w:type="dxa"/>
          </w:tcPr>
          <w:p w14:paraId="75BB88C8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5F23E498" w14:textId="77777777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Pytanie 4</w:t>
            </w:r>
          </w:p>
          <w:p w14:paraId="367B661B" w14:textId="29EF5F33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Dotyczy zapisów SWZ </w:t>
            </w:r>
            <w:proofErr w:type="spellStart"/>
            <w:r w:rsidRPr="00BE6790">
              <w:rPr>
                <w:rFonts w:ascii="Arial" w:hAnsi="Arial" w:cs="Arial"/>
              </w:rPr>
              <w:t>rozdz.V</w:t>
            </w:r>
            <w:proofErr w:type="spellEnd"/>
            <w:r w:rsidRPr="00BE6790">
              <w:rPr>
                <w:rFonts w:ascii="Arial" w:hAnsi="Arial" w:cs="Arial"/>
              </w:rPr>
              <w:t xml:space="preserve"> Czy z uwagi na to, że w instrukcjach, katalogach, ulotkach, folderach przedstawiona jest tylko część parametrów i funkcjonalności sprzętu, Zamawiający w odniesieniu do wymaganych przez siebie parametrów, które nie są prezentowane w tych dokumentach dopuści ich potwierdzenie oświadczeniem Wykonawcy posiadającego pisemną autoryzację producenta dla serwisu i sprzedaży oferowanego przedmiotu zamówienia?</w:t>
            </w:r>
          </w:p>
        </w:tc>
        <w:tc>
          <w:tcPr>
            <w:tcW w:w="2840" w:type="dxa"/>
          </w:tcPr>
          <w:p w14:paraId="3708E09E" w14:textId="3F151142" w:rsidR="001D4CA1" w:rsidRPr="00BE6790" w:rsidRDefault="001D4CA1" w:rsidP="003A5802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Dopuszczamy złożenia oświadczenia producenta potwierdzającego spełnienie parametrów technicznych nie wyszczególnionych w katalogach firmowych.</w:t>
            </w:r>
          </w:p>
        </w:tc>
      </w:tr>
      <w:tr w:rsidR="001D4CA1" w:rsidRPr="00BE6790" w14:paraId="707CF811" w14:textId="77777777" w:rsidTr="001D4CA1">
        <w:tc>
          <w:tcPr>
            <w:tcW w:w="694" w:type="dxa"/>
          </w:tcPr>
          <w:p w14:paraId="64996E61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76B4C8DF" w14:textId="77777777" w:rsidR="001D4CA1" w:rsidRPr="00BE6790" w:rsidRDefault="001D4CA1" w:rsidP="00BE6790">
            <w:pPr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1.</w:t>
            </w:r>
          </w:p>
          <w:p w14:paraId="108B1491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w Załączniku nr 2a (formularz techniczny rezonans) w punkcie 125, podpunkt 1 zawarł:</w:t>
            </w:r>
          </w:p>
          <w:p w14:paraId="42A0B466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Rozbudowa macierzy dyskowej posiadanej przez Zamawiającego o dodatkowe 32 TB pojemności rzeczywistej. Docelowa ilość po rozbudowie to minimum 62 TB pojemności rzeczywistej.</w:t>
            </w:r>
          </w:p>
          <w:p w14:paraId="2A358FF6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W punkcie 125 (podpunkt 2) dopuszczającym dostawę nowej macierzy (zamiast rozbudowy o której mowa powyżej) Zamawiający zawarł zapisy:</w:t>
            </w:r>
          </w:p>
          <w:p w14:paraId="63E0A137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Całe rozwiązanie musi być objęte minimum 60 miesięcznym okresem gwarancji z naprawą miejscu instalacji urządzenia i z gwarantowanym czasem wizyty pracownika serwisu najpóźniej w ciągu następnego dnia roboczego od dnia zgłoszenia awarii do organizacji serwisowej producenta macierzy.</w:t>
            </w:r>
          </w:p>
          <w:p w14:paraId="3B959472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•</w:t>
            </w:r>
            <w:r w:rsidRPr="00BE6790">
              <w:rPr>
                <w:rFonts w:ascii="Arial" w:hAnsi="Arial" w:cs="Arial"/>
                <w:i/>
                <w:iCs/>
              </w:rPr>
              <w:tab/>
              <w:t>Dyski twarde nie podlegają zwrotowi organizacji serwisowej;</w:t>
            </w:r>
          </w:p>
          <w:p w14:paraId="746CAE9B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•</w:t>
            </w:r>
            <w:r w:rsidRPr="00BE6790">
              <w:rPr>
                <w:rFonts w:ascii="Arial" w:hAnsi="Arial" w:cs="Arial"/>
                <w:i/>
                <w:iCs/>
              </w:rPr>
              <w:tab/>
              <w:t xml:space="preserve">Serwis gwarancyjny musi obejmować dostęp do poprawek i nowych wersji oprogramowania wbudowanego, które są elementem zamówienia.    </w:t>
            </w:r>
          </w:p>
          <w:p w14:paraId="08735E4F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•</w:t>
            </w:r>
            <w:r w:rsidRPr="00BE6790">
              <w:rPr>
                <w:rFonts w:ascii="Arial" w:hAnsi="Arial" w:cs="Arial"/>
                <w:i/>
                <w:iCs/>
              </w:rPr>
              <w:tab/>
              <w:t>Po zakończeniu okresu gwarancji musi być zapewniony przez producenta rozwiązania bezpłatny dostęp do aktualizacji oprogramowania wewnętrznego oferowanej macierzy oraz do kolejnych wersji oprogramowania zarządzającego w okresie minimum 2 lat.</w:t>
            </w:r>
          </w:p>
          <w:p w14:paraId="4CF5A2B0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W związku z powyższym prosimy o wyjaśnienie czy w przypadku rozbudowy posiadanej macierzy dyskowej o kolejne 32TB pojemności rzeczywistej (zgodnie z p.1 podpunkt 125), Zmawiający wymaga również tożsamych jak wyżej wymienionych reżimów gwarancyjnych, a przede wszystkim 60 miesięcy gwarancji producenta dla nowo rozbudowywanych 32TB? </w:t>
            </w:r>
          </w:p>
          <w:p w14:paraId="6D2C5EB2" w14:textId="5BC879EE" w:rsidR="001D4CA1" w:rsidRPr="00BE6790" w:rsidRDefault="001D4CA1" w:rsidP="00BE6790">
            <w:pPr>
              <w:rPr>
                <w:rFonts w:ascii="Arial" w:hAnsi="Arial" w:cs="Arial"/>
              </w:rPr>
            </w:pPr>
          </w:p>
        </w:tc>
        <w:tc>
          <w:tcPr>
            <w:tcW w:w="2840" w:type="dxa"/>
          </w:tcPr>
          <w:p w14:paraId="5A39BC3D" w14:textId="4C9CB9C7" w:rsidR="001D4CA1" w:rsidRPr="00BE6790" w:rsidRDefault="001D4CA1" w:rsidP="003A5802">
            <w:pPr>
              <w:rPr>
                <w:rFonts w:ascii="Arial" w:hAnsi="Arial" w:cs="Arial"/>
              </w:rPr>
            </w:pPr>
            <w:r w:rsidRPr="00961501">
              <w:rPr>
                <w:rFonts w:ascii="Arial" w:hAnsi="Arial" w:cs="Arial"/>
              </w:rPr>
              <w:t>Zamawiający wymaga tożsamych reżimów gwarancyjnych.</w:t>
            </w:r>
          </w:p>
        </w:tc>
      </w:tr>
      <w:tr w:rsidR="001D4CA1" w:rsidRPr="00BE6790" w14:paraId="081BE9B0" w14:textId="77777777" w:rsidTr="001D4CA1">
        <w:tc>
          <w:tcPr>
            <w:tcW w:w="694" w:type="dxa"/>
          </w:tcPr>
          <w:p w14:paraId="0323ADE7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4D52A609" w14:textId="77777777" w:rsidR="001D4CA1" w:rsidRPr="00BE6790" w:rsidRDefault="001D4CA1" w:rsidP="00BE6790">
            <w:pPr>
              <w:jc w:val="both"/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2.</w:t>
            </w:r>
          </w:p>
          <w:p w14:paraId="76B873D8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w Załączniku nr 2a, (formularz techniczny rezonans) w punkcie 125, podpunkt 2 przy opisie ogólnych wymagań technicznych między innymi zawarł:</w:t>
            </w:r>
          </w:p>
          <w:p w14:paraId="1D4117BD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 xml:space="preserve">Macierz musi umożliwiać rozbudowę i jednoczesne podłączenie i używanie modułów (tzw. „półek dyskowych”) w rozmiarze 2U pozwalająca umieścić do 24 dysków 2,5” typu </w:t>
            </w:r>
            <w:proofErr w:type="spellStart"/>
            <w:r w:rsidRPr="00BE6790">
              <w:rPr>
                <w:rFonts w:ascii="Arial" w:hAnsi="Arial" w:cs="Arial"/>
                <w:i/>
                <w:iCs/>
              </w:rPr>
              <w:t>hotplug</w:t>
            </w:r>
            <w:proofErr w:type="spellEnd"/>
            <w:r w:rsidRPr="00BE6790">
              <w:rPr>
                <w:rFonts w:ascii="Arial" w:hAnsi="Arial" w:cs="Arial"/>
                <w:i/>
                <w:iCs/>
              </w:rPr>
              <w:t xml:space="preserve"> dla dysków NL-SAS SAS i SSD  oraz w rozmiarze 2U dla </w:t>
            </w:r>
            <w:r w:rsidRPr="00BE6790">
              <w:rPr>
                <w:rFonts w:ascii="Arial" w:hAnsi="Arial" w:cs="Arial"/>
                <w:b/>
                <w:bCs/>
                <w:i/>
                <w:iCs/>
              </w:rPr>
              <w:t xml:space="preserve">12 dysków 3,5” typu </w:t>
            </w:r>
            <w:proofErr w:type="spellStart"/>
            <w:r w:rsidRPr="00BE6790">
              <w:rPr>
                <w:rFonts w:ascii="Arial" w:hAnsi="Arial" w:cs="Arial"/>
                <w:b/>
                <w:bCs/>
                <w:i/>
                <w:iCs/>
              </w:rPr>
              <w:t>hotplug</w:t>
            </w:r>
            <w:proofErr w:type="spellEnd"/>
            <w:r w:rsidRPr="00BE6790">
              <w:rPr>
                <w:rFonts w:ascii="Arial" w:hAnsi="Arial" w:cs="Arial"/>
                <w:b/>
                <w:bCs/>
                <w:i/>
                <w:iCs/>
              </w:rPr>
              <w:t xml:space="preserve"> SAS, NL-SAS,SSD</w:t>
            </w:r>
            <w:r w:rsidRPr="00BE6790">
              <w:rPr>
                <w:rFonts w:ascii="Arial" w:hAnsi="Arial" w:cs="Arial"/>
                <w:i/>
                <w:iCs/>
              </w:rPr>
              <w:t xml:space="preserve">  oraz </w:t>
            </w:r>
            <w:r w:rsidRPr="00BE6790">
              <w:rPr>
                <w:rFonts w:ascii="Arial" w:hAnsi="Arial" w:cs="Arial"/>
                <w:b/>
                <w:bCs/>
                <w:i/>
                <w:iCs/>
              </w:rPr>
              <w:t xml:space="preserve">3U/4U dla 60 dysków typu </w:t>
            </w:r>
            <w:proofErr w:type="spellStart"/>
            <w:r w:rsidRPr="00BE6790">
              <w:rPr>
                <w:rFonts w:ascii="Arial" w:hAnsi="Arial" w:cs="Arial"/>
                <w:b/>
                <w:bCs/>
                <w:i/>
                <w:iCs/>
              </w:rPr>
              <w:t>hotplug</w:t>
            </w:r>
            <w:proofErr w:type="spellEnd"/>
            <w:r w:rsidRPr="00BE6790">
              <w:rPr>
                <w:rFonts w:ascii="Arial" w:hAnsi="Arial" w:cs="Arial"/>
                <w:b/>
                <w:bCs/>
                <w:i/>
                <w:iCs/>
              </w:rPr>
              <w:t xml:space="preserve"> SAS, NL-SAS, SSD-SAS </w:t>
            </w:r>
            <w:r w:rsidRPr="00BE6790">
              <w:rPr>
                <w:rFonts w:ascii="Arial" w:hAnsi="Arial" w:cs="Arial"/>
                <w:i/>
                <w:iCs/>
              </w:rPr>
              <w:t xml:space="preserve">; </w:t>
            </w:r>
          </w:p>
          <w:p w14:paraId="0AD31AD0" w14:textId="51222C63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Czy zamiast powyższego, Zamawiający dopuści macierz, która pobędzie umożliwiać rozbudowę i jednoczesne podłączenie i używanie modułów (tzw. „półek dyskowych”) w rozmiarze 2U pozwalająca umieścić do </w:t>
            </w:r>
            <w:r w:rsidRPr="00BE6790">
              <w:rPr>
                <w:rFonts w:ascii="Arial" w:hAnsi="Arial" w:cs="Arial"/>
                <w:b/>
                <w:bCs/>
              </w:rPr>
              <w:t xml:space="preserve">24 dysków 2,5” typu </w:t>
            </w:r>
            <w:proofErr w:type="spellStart"/>
            <w:r w:rsidRPr="00BE6790">
              <w:rPr>
                <w:rFonts w:ascii="Arial" w:hAnsi="Arial" w:cs="Arial"/>
                <w:b/>
                <w:bCs/>
              </w:rPr>
              <w:t>hotplug</w:t>
            </w:r>
            <w:proofErr w:type="spellEnd"/>
            <w:r w:rsidRPr="00BE6790">
              <w:rPr>
                <w:rFonts w:ascii="Arial" w:hAnsi="Arial" w:cs="Arial"/>
                <w:b/>
                <w:bCs/>
              </w:rPr>
              <w:t xml:space="preserve"> dla dysków SAS i SSD</w:t>
            </w:r>
            <w:r w:rsidRPr="00BE6790">
              <w:rPr>
                <w:rFonts w:ascii="Arial" w:hAnsi="Arial" w:cs="Arial"/>
              </w:rPr>
              <w:t xml:space="preserve">  oraz w rozmiarze </w:t>
            </w:r>
            <w:r w:rsidRPr="00BE6790">
              <w:rPr>
                <w:rFonts w:ascii="Arial" w:hAnsi="Arial" w:cs="Arial"/>
                <w:b/>
                <w:bCs/>
              </w:rPr>
              <w:t xml:space="preserve">2U dla 12 dysków 3,5” typu </w:t>
            </w:r>
            <w:proofErr w:type="spellStart"/>
            <w:r w:rsidRPr="00BE6790">
              <w:rPr>
                <w:rFonts w:ascii="Arial" w:hAnsi="Arial" w:cs="Arial"/>
                <w:b/>
                <w:bCs/>
              </w:rPr>
              <w:t>hotplug</w:t>
            </w:r>
            <w:proofErr w:type="spellEnd"/>
            <w:r w:rsidRPr="00BE6790">
              <w:rPr>
                <w:rFonts w:ascii="Arial" w:hAnsi="Arial" w:cs="Arial"/>
                <w:b/>
                <w:bCs/>
              </w:rPr>
              <w:t xml:space="preserve"> NL-SAS i SSD</w:t>
            </w:r>
            <w:r w:rsidRPr="00BE6790">
              <w:rPr>
                <w:rFonts w:ascii="Arial" w:hAnsi="Arial" w:cs="Arial"/>
              </w:rPr>
              <w:t xml:space="preserve">  oraz </w:t>
            </w:r>
            <w:r w:rsidRPr="00BE6790">
              <w:rPr>
                <w:rFonts w:ascii="Arial" w:hAnsi="Arial" w:cs="Arial"/>
                <w:b/>
                <w:bCs/>
              </w:rPr>
              <w:t xml:space="preserve">3U/4U dla 60 dysków typu </w:t>
            </w:r>
            <w:proofErr w:type="spellStart"/>
            <w:r w:rsidRPr="00BE6790">
              <w:rPr>
                <w:rFonts w:ascii="Arial" w:hAnsi="Arial" w:cs="Arial"/>
                <w:b/>
                <w:bCs/>
              </w:rPr>
              <w:t>hotplug</w:t>
            </w:r>
            <w:proofErr w:type="spellEnd"/>
            <w:r w:rsidRPr="00BE6790">
              <w:rPr>
                <w:rFonts w:ascii="Arial" w:hAnsi="Arial" w:cs="Arial"/>
                <w:b/>
                <w:bCs/>
              </w:rPr>
              <w:t xml:space="preserve"> NL-SAS</w:t>
            </w:r>
            <w:r w:rsidRPr="00BE6790">
              <w:rPr>
                <w:rFonts w:ascii="Arial" w:hAnsi="Arial" w:cs="Arial"/>
              </w:rPr>
              <w:t>?</w:t>
            </w:r>
          </w:p>
        </w:tc>
        <w:tc>
          <w:tcPr>
            <w:tcW w:w="2840" w:type="dxa"/>
          </w:tcPr>
          <w:p w14:paraId="5FB85144" w14:textId="0BDC0434" w:rsidR="001D4CA1" w:rsidRPr="00BE6790" w:rsidRDefault="001D4CA1" w:rsidP="003A5802">
            <w:pPr>
              <w:rPr>
                <w:rFonts w:ascii="Arial" w:hAnsi="Arial" w:cs="Arial"/>
              </w:rPr>
            </w:pPr>
            <w:r w:rsidRPr="00961501">
              <w:rPr>
                <w:rFonts w:ascii="Arial" w:hAnsi="Arial" w:cs="Arial"/>
              </w:rPr>
              <w:t>Zamawiający dopuści zaproponowane rozwiązanie.</w:t>
            </w:r>
          </w:p>
        </w:tc>
      </w:tr>
      <w:tr w:rsidR="001D4CA1" w:rsidRPr="00BE6790" w14:paraId="7D895062" w14:textId="77777777" w:rsidTr="001D4CA1">
        <w:tc>
          <w:tcPr>
            <w:tcW w:w="694" w:type="dxa"/>
          </w:tcPr>
          <w:p w14:paraId="1656D3F6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78C1AA68" w14:textId="77777777" w:rsidR="001D4CA1" w:rsidRPr="00BE6790" w:rsidRDefault="001D4CA1" w:rsidP="00BE6790">
            <w:pPr>
              <w:jc w:val="both"/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3.</w:t>
            </w:r>
          </w:p>
          <w:p w14:paraId="38B34B52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>Zamawiający w Załączniku nr 2a (formularz techniczny rezonans) w punkcie 125, podpunkt 2 przy opisie dysków zawarł:</w:t>
            </w:r>
          </w:p>
          <w:p w14:paraId="515D6639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t>Macierz musi obsługiwać mieszaną konfigurację dysków hot-plug SSD i HDD w rozmiarach 2,5” i 3,5” zainstalowanych w dowolnym module rozwiązania.</w:t>
            </w:r>
          </w:p>
          <w:p w14:paraId="1C0E36F2" w14:textId="270DA00B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Czy Zamawiają dopuści aby w przypadku półek gęstego upakowania można było stosować tylko dyski HDD? W bieżących rozwiązaniach u czołowych producentów macierzy półki gęstego upakowania obsługują jedynie dyski HDD. </w:t>
            </w:r>
          </w:p>
        </w:tc>
        <w:tc>
          <w:tcPr>
            <w:tcW w:w="2840" w:type="dxa"/>
          </w:tcPr>
          <w:p w14:paraId="685EACB1" w14:textId="1417D7A2" w:rsidR="001D4CA1" w:rsidRPr="00BE6790" w:rsidRDefault="001D4CA1" w:rsidP="003A5802">
            <w:pPr>
              <w:rPr>
                <w:rFonts w:ascii="Arial" w:hAnsi="Arial" w:cs="Arial"/>
              </w:rPr>
            </w:pPr>
            <w:r w:rsidRPr="00961501">
              <w:rPr>
                <w:rFonts w:ascii="Arial" w:hAnsi="Arial" w:cs="Arial"/>
              </w:rPr>
              <w:t>Zamawiający dopuści zaproponowane rozwiązanie.</w:t>
            </w:r>
          </w:p>
        </w:tc>
      </w:tr>
      <w:tr w:rsidR="001D4CA1" w:rsidRPr="00BE6790" w14:paraId="6637D714" w14:textId="77777777" w:rsidTr="001D4CA1">
        <w:tc>
          <w:tcPr>
            <w:tcW w:w="694" w:type="dxa"/>
          </w:tcPr>
          <w:p w14:paraId="6B6C4D92" w14:textId="77777777" w:rsidR="001D4CA1" w:rsidRPr="00BE6790" w:rsidRDefault="001D4CA1" w:rsidP="003A5802">
            <w:pPr>
              <w:pStyle w:val="Akapitzlist"/>
              <w:numPr>
                <w:ilvl w:val="0"/>
                <w:numId w:val="19"/>
              </w:numPr>
              <w:ind w:hanging="720"/>
              <w:rPr>
                <w:rFonts w:ascii="Arial" w:hAnsi="Arial" w:cs="Arial"/>
              </w:rPr>
            </w:pPr>
          </w:p>
        </w:tc>
        <w:tc>
          <w:tcPr>
            <w:tcW w:w="11492" w:type="dxa"/>
          </w:tcPr>
          <w:p w14:paraId="34FA9639" w14:textId="77777777" w:rsidR="001D4CA1" w:rsidRPr="00BE6790" w:rsidRDefault="001D4CA1" w:rsidP="00BE6790">
            <w:pPr>
              <w:jc w:val="both"/>
              <w:rPr>
                <w:rFonts w:ascii="Arial" w:hAnsi="Arial" w:cs="Arial"/>
                <w:b/>
                <w:bCs/>
              </w:rPr>
            </w:pPr>
            <w:r w:rsidRPr="00BE6790">
              <w:rPr>
                <w:rFonts w:ascii="Arial" w:hAnsi="Arial" w:cs="Arial"/>
                <w:b/>
                <w:bCs/>
              </w:rPr>
              <w:t>Pytanie 4.</w:t>
            </w:r>
          </w:p>
          <w:p w14:paraId="0C61DEBA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Zamawiający w Załączniku nr 2a, (formularz techniczny rezonans)  w </w:t>
            </w:r>
            <w:proofErr w:type="spellStart"/>
            <w:r w:rsidRPr="00BE6790">
              <w:rPr>
                <w:rFonts w:ascii="Arial" w:hAnsi="Arial" w:cs="Arial"/>
              </w:rPr>
              <w:t>punkci</w:t>
            </w:r>
            <w:proofErr w:type="spellEnd"/>
            <w:r w:rsidRPr="00BE6790">
              <w:rPr>
                <w:rFonts w:ascii="Arial" w:hAnsi="Arial" w:cs="Arial"/>
              </w:rPr>
              <w:t xml:space="preserve"> 125, podpunkt 2 przy opisie opcji programowych zawarł:</w:t>
            </w:r>
          </w:p>
          <w:p w14:paraId="21AA4D21" w14:textId="77777777" w:rsidR="001D4CA1" w:rsidRPr="00BE6790" w:rsidRDefault="001D4CA1" w:rsidP="00BE6790">
            <w:pPr>
              <w:jc w:val="both"/>
              <w:rPr>
                <w:rFonts w:ascii="Arial" w:hAnsi="Arial" w:cs="Arial"/>
                <w:i/>
                <w:iCs/>
              </w:rPr>
            </w:pPr>
            <w:r w:rsidRPr="00BE6790">
              <w:rPr>
                <w:rFonts w:ascii="Arial" w:hAnsi="Arial" w:cs="Arial"/>
                <w:i/>
                <w:iCs/>
              </w:rPr>
              <w:lastRenderedPageBreak/>
              <w:t xml:space="preserve">Macierz musi posiadać możliwość uruchamiania mechanizmów zdalnej replikacji danych, w trybie synchronicznym i asynchronicznym, po protokołach FC oraz </w:t>
            </w:r>
            <w:proofErr w:type="spellStart"/>
            <w:r w:rsidRPr="00BE6790">
              <w:rPr>
                <w:rFonts w:ascii="Arial" w:hAnsi="Arial" w:cs="Arial"/>
                <w:i/>
                <w:iCs/>
              </w:rPr>
              <w:t>iSCSI</w:t>
            </w:r>
            <w:proofErr w:type="spellEnd"/>
            <w:r w:rsidRPr="00BE6790">
              <w:rPr>
                <w:rFonts w:ascii="Arial" w:hAnsi="Arial" w:cs="Arial"/>
                <w:i/>
                <w:iCs/>
              </w:rPr>
              <w:t xml:space="preserve">,   bez konieczności stosowania zewnętrznych urządzeń konwersji wymienionych protokołów transmisji. Funkcjonalność replikacji danych musi być zapewniona z poziomu oprogramowania wewnętrznego macierzy, jako tzw. </w:t>
            </w:r>
            <w:proofErr w:type="spellStart"/>
            <w:r w:rsidRPr="00BE6790">
              <w:rPr>
                <w:rFonts w:ascii="Arial" w:hAnsi="Arial" w:cs="Arial"/>
                <w:i/>
                <w:iCs/>
              </w:rPr>
              <w:t>storage-based</w:t>
            </w:r>
            <w:proofErr w:type="spellEnd"/>
            <w:r w:rsidRPr="00BE6790">
              <w:rPr>
                <w:rFonts w:ascii="Arial" w:hAnsi="Arial" w:cs="Arial"/>
                <w:i/>
                <w:iCs/>
              </w:rPr>
              <w:t xml:space="preserve"> data </w:t>
            </w:r>
            <w:proofErr w:type="spellStart"/>
            <w:r w:rsidRPr="00BE6790">
              <w:rPr>
                <w:rFonts w:ascii="Arial" w:hAnsi="Arial" w:cs="Arial"/>
                <w:i/>
                <w:iCs/>
              </w:rPr>
              <w:t>replication</w:t>
            </w:r>
            <w:proofErr w:type="spellEnd"/>
            <w:r w:rsidRPr="00BE6790">
              <w:rPr>
                <w:rFonts w:ascii="Arial" w:hAnsi="Arial" w:cs="Arial"/>
                <w:i/>
                <w:iCs/>
              </w:rPr>
              <w:t>. Replikacja danych musi być obsługiwana w połączeniu z każdą macierzą z tej samej rodziny urządzeń wspierającą obsługę zdalnej replikacji danych.</w:t>
            </w:r>
          </w:p>
          <w:p w14:paraId="1D5DB060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</w:p>
          <w:p w14:paraId="2E440DFF" w14:textId="77777777" w:rsidR="001D4CA1" w:rsidRPr="00BE6790" w:rsidRDefault="001D4CA1" w:rsidP="00BE6790">
            <w:pPr>
              <w:jc w:val="both"/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Czy Zamawiający wymaga dostarczenia tej funkcjonalności czy też należy traktować powyższy zapis jako opcję rozbudowy? </w:t>
            </w:r>
          </w:p>
          <w:p w14:paraId="34E8D9A5" w14:textId="03D9AF2E" w:rsidR="001D4CA1" w:rsidRPr="00BE6790" w:rsidRDefault="001D4CA1" w:rsidP="00BE6790">
            <w:pPr>
              <w:rPr>
                <w:rFonts w:ascii="Arial" w:hAnsi="Arial" w:cs="Arial"/>
              </w:rPr>
            </w:pPr>
            <w:r w:rsidRPr="00BE6790">
              <w:rPr>
                <w:rFonts w:ascii="Arial" w:hAnsi="Arial" w:cs="Arial"/>
              </w:rPr>
              <w:t xml:space="preserve">Na etapie zakupu jednego urządzenia  licencja na funkcjonalność replikacji znacząco podnosi cenę urządzenia, a może zostać zakupiona w późniejszym etapie. Sugerujemy aby Zamawiający określił ten wymóg jako </w:t>
            </w:r>
            <w:r w:rsidRPr="00BE6790">
              <w:rPr>
                <w:rFonts w:ascii="Arial" w:hAnsi="Arial" w:cs="Arial"/>
                <w:b/>
                <w:bCs/>
              </w:rPr>
              <w:t xml:space="preserve">opcja rozbudowy. </w:t>
            </w:r>
            <w:r w:rsidRPr="00BE6790">
              <w:rPr>
                <w:rFonts w:ascii="Arial" w:hAnsi="Arial" w:cs="Arial"/>
              </w:rPr>
              <w:t>W przyszłości umożliwi to Zamawiającemu uruchomienie powyższej funkcjonalności</w:t>
            </w:r>
          </w:p>
        </w:tc>
        <w:tc>
          <w:tcPr>
            <w:tcW w:w="2840" w:type="dxa"/>
          </w:tcPr>
          <w:p w14:paraId="63F24F4E" w14:textId="79F0CCA2" w:rsidR="001D4CA1" w:rsidRPr="00BE6790" w:rsidRDefault="001D4CA1" w:rsidP="003A5802">
            <w:pPr>
              <w:rPr>
                <w:rFonts w:ascii="Arial" w:hAnsi="Arial" w:cs="Arial"/>
              </w:rPr>
            </w:pPr>
            <w:r w:rsidRPr="00961501">
              <w:rPr>
                <w:rFonts w:ascii="Arial" w:hAnsi="Arial" w:cs="Arial"/>
              </w:rPr>
              <w:lastRenderedPageBreak/>
              <w:t>Zamawiający wymaga dostarczenia tej funkcjonalności.</w:t>
            </w:r>
          </w:p>
        </w:tc>
      </w:tr>
    </w:tbl>
    <w:p w14:paraId="544D76BE" w14:textId="61090233" w:rsidR="00BC3B20" w:rsidRPr="00DC0D55" w:rsidRDefault="00BC3B20" w:rsidP="006A7A15">
      <w:pPr>
        <w:rPr>
          <w:rFonts w:ascii="Arial" w:hAnsi="Arial" w:cs="Arial"/>
        </w:rPr>
      </w:pPr>
    </w:p>
    <w:sectPr w:rsidR="00BC3B20" w:rsidRPr="00DC0D55" w:rsidSect="00E53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58866" w14:textId="77777777" w:rsidR="00A7138F" w:rsidRDefault="00A7138F" w:rsidP="00BD2BDB">
      <w:r>
        <w:separator/>
      </w:r>
    </w:p>
  </w:endnote>
  <w:endnote w:type="continuationSeparator" w:id="0">
    <w:p w14:paraId="66FE6913" w14:textId="77777777" w:rsidR="00A7138F" w:rsidRDefault="00A7138F" w:rsidP="00BD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mbl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FE7A" w14:textId="77777777" w:rsidR="008A42E4" w:rsidRDefault="008A4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4A1A7" w14:textId="6DB7B82C" w:rsidR="004403B6" w:rsidRDefault="004403B6">
    <w:pPr>
      <w:pStyle w:val="Stopka"/>
    </w:pPr>
    <w:r w:rsidRPr="00DD18E8">
      <w:rPr>
        <w:noProof/>
      </w:rPr>
      <w:drawing>
        <wp:inline distT="0" distB="0" distL="0" distR="0" wp14:anchorId="3C215969" wp14:editId="54073E24">
          <wp:extent cx="9525000" cy="660400"/>
          <wp:effectExtent l="0" t="0" r="0" b="635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73EA" w14:textId="77777777" w:rsidR="008A42E4" w:rsidRDefault="008A42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690B3" w14:textId="77777777" w:rsidR="00A7138F" w:rsidRDefault="00A7138F" w:rsidP="00BD2BDB">
      <w:r>
        <w:separator/>
      </w:r>
    </w:p>
  </w:footnote>
  <w:footnote w:type="continuationSeparator" w:id="0">
    <w:p w14:paraId="59F6579A" w14:textId="77777777" w:rsidR="00A7138F" w:rsidRDefault="00A7138F" w:rsidP="00BD2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B1990" w14:textId="77777777" w:rsidR="008A42E4" w:rsidRDefault="008A4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2E2A" w14:textId="77777777" w:rsidR="008A42E4" w:rsidRDefault="008A42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18C0" w14:textId="77777777" w:rsidR="008A42E4" w:rsidRDefault="008A4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703C15"/>
    <w:multiLevelType w:val="multilevel"/>
    <w:tmpl w:val="46C8F0BE"/>
    <w:styleLink w:val="WWNum13"/>
    <w:lvl w:ilvl="0">
      <w:start w:val="1"/>
      <w:numFmt w:val="decimal"/>
      <w:lvlText w:val="%1."/>
      <w:lvlJc w:val="left"/>
      <w:pPr>
        <w:ind w:left="401" w:hanging="284"/>
      </w:pPr>
      <w:rPr>
        <w:rFonts w:eastAsia="Times New Roman" w:cs="Times New Roman"/>
        <w:spacing w:val="-28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826" w:hanging="425"/>
      </w:pPr>
      <w:rPr>
        <w:rFonts w:eastAsia="Times New Roman" w:cs="Times New Roman"/>
        <w:spacing w:val="-5"/>
        <w:w w:val="100"/>
        <w:sz w:val="24"/>
        <w:szCs w:val="24"/>
      </w:rPr>
    </w:lvl>
    <w:lvl w:ilvl="2">
      <w:numFmt w:val="bullet"/>
      <w:lvlText w:val=""/>
      <w:lvlJc w:val="left"/>
      <w:pPr>
        <w:ind w:left="1112" w:hanging="286"/>
      </w:pPr>
      <w:rPr>
        <w:rFonts w:ascii="Symbol" w:eastAsia="Symbol" w:hAnsi="Symbol" w:cs="Symbol"/>
        <w:w w:val="100"/>
        <w:sz w:val="24"/>
        <w:szCs w:val="24"/>
      </w:rPr>
    </w:lvl>
    <w:lvl w:ilvl="3">
      <w:numFmt w:val="bullet"/>
      <w:lvlText w:val="•"/>
      <w:lvlJc w:val="left"/>
      <w:pPr>
        <w:ind w:left="2142" w:hanging="286"/>
      </w:pPr>
    </w:lvl>
    <w:lvl w:ilvl="4">
      <w:numFmt w:val="bullet"/>
      <w:lvlText w:val="•"/>
      <w:lvlJc w:val="left"/>
      <w:pPr>
        <w:ind w:left="3165" w:hanging="286"/>
      </w:pPr>
    </w:lvl>
    <w:lvl w:ilvl="5">
      <w:numFmt w:val="bullet"/>
      <w:lvlText w:val="•"/>
      <w:lvlJc w:val="left"/>
      <w:pPr>
        <w:ind w:left="4187" w:hanging="286"/>
      </w:pPr>
    </w:lvl>
    <w:lvl w:ilvl="6">
      <w:numFmt w:val="bullet"/>
      <w:lvlText w:val="•"/>
      <w:lvlJc w:val="left"/>
      <w:pPr>
        <w:ind w:left="5210" w:hanging="286"/>
      </w:pPr>
    </w:lvl>
    <w:lvl w:ilvl="7">
      <w:numFmt w:val="bullet"/>
      <w:lvlText w:val="•"/>
      <w:lvlJc w:val="left"/>
      <w:pPr>
        <w:ind w:left="6232" w:hanging="286"/>
      </w:pPr>
    </w:lvl>
    <w:lvl w:ilvl="8">
      <w:numFmt w:val="bullet"/>
      <w:lvlText w:val="•"/>
      <w:lvlJc w:val="left"/>
      <w:pPr>
        <w:ind w:left="7255" w:hanging="286"/>
      </w:pPr>
    </w:lvl>
  </w:abstractNum>
  <w:abstractNum w:abstractNumId="2" w15:restartNumberingAfterBreak="0">
    <w:nsid w:val="0F596FAB"/>
    <w:multiLevelType w:val="hybridMultilevel"/>
    <w:tmpl w:val="6630A2CA"/>
    <w:lvl w:ilvl="0" w:tplc="BB0400D6">
      <w:start w:val="1"/>
      <w:numFmt w:val="lowerLetter"/>
      <w:lvlText w:val="%1)"/>
      <w:lvlJc w:val="left"/>
      <w:pPr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E77BBE"/>
    <w:multiLevelType w:val="hybridMultilevel"/>
    <w:tmpl w:val="DF927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2471E"/>
    <w:multiLevelType w:val="hybridMultilevel"/>
    <w:tmpl w:val="62A6EC96"/>
    <w:lvl w:ilvl="0" w:tplc="7CD2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32F4B"/>
    <w:multiLevelType w:val="hybridMultilevel"/>
    <w:tmpl w:val="C478B6E6"/>
    <w:lvl w:ilvl="0" w:tplc="0854F78E">
      <w:start w:val="1"/>
      <w:numFmt w:val="decimal"/>
      <w:lvlText w:val="Pytanie nr 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928CB"/>
    <w:multiLevelType w:val="hybridMultilevel"/>
    <w:tmpl w:val="85EE6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92AC5"/>
    <w:multiLevelType w:val="hybridMultilevel"/>
    <w:tmpl w:val="29B8C448"/>
    <w:lvl w:ilvl="0" w:tplc="894CCE44">
      <w:numFmt w:val="bullet"/>
      <w:lvlText w:val="-"/>
      <w:lvlJc w:val="left"/>
      <w:pPr>
        <w:ind w:left="291" w:hanging="97"/>
      </w:pPr>
      <w:rPr>
        <w:rFonts w:ascii="Calibri Light" w:eastAsia="Calibri Light" w:hAnsi="Calibri Light" w:cs="Calibri Light" w:hint="default"/>
        <w:spacing w:val="-3"/>
        <w:w w:val="100"/>
        <w:sz w:val="18"/>
        <w:szCs w:val="18"/>
        <w:lang w:val="pl-PL" w:eastAsia="pl-PL" w:bidi="pl-PL"/>
      </w:rPr>
    </w:lvl>
    <w:lvl w:ilvl="1" w:tplc="9496D67A">
      <w:numFmt w:val="bullet"/>
      <w:lvlText w:val="•"/>
      <w:lvlJc w:val="left"/>
      <w:pPr>
        <w:ind w:left="812" w:hanging="97"/>
      </w:pPr>
      <w:rPr>
        <w:rFonts w:hint="default"/>
        <w:lang w:val="pl-PL" w:eastAsia="pl-PL" w:bidi="pl-PL"/>
      </w:rPr>
    </w:lvl>
    <w:lvl w:ilvl="2" w:tplc="A6187262">
      <w:numFmt w:val="bullet"/>
      <w:lvlText w:val="•"/>
      <w:lvlJc w:val="left"/>
      <w:pPr>
        <w:ind w:left="1324" w:hanging="97"/>
      </w:pPr>
      <w:rPr>
        <w:rFonts w:hint="default"/>
        <w:lang w:val="pl-PL" w:eastAsia="pl-PL" w:bidi="pl-PL"/>
      </w:rPr>
    </w:lvl>
    <w:lvl w:ilvl="3" w:tplc="92E044A0">
      <w:numFmt w:val="bullet"/>
      <w:lvlText w:val="•"/>
      <w:lvlJc w:val="left"/>
      <w:pPr>
        <w:ind w:left="1837" w:hanging="97"/>
      </w:pPr>
      <w:rPr>
        <w:rFonts w:hint="default"/>
        <w:lang w:val="pl-PL" w:eastAsia="pl-PL" w:bidi="pl-PL"/>
      </w:rPr>
    </w:lvl>
    <w:lvl w:ilvl="4" w:tplc="33FEFD34">
      <w:numFmt w:val="bullet"/>
      <w:lvlText w:val="•"/>
      <w:lvlJc w:val="left"/>
      <w:pPr>
        <w:ind w:left="2349" w:hanging="97"/>
      </w:pPr>
      <w:rPr>
        <w:rFonts w:hint="default"/>
        <w:lang w:val="pl-PL" w:eastAsia="pl-PL" w:bidi="pl-PL"/>
      </w:rPr>
    </w:lvl>
    <w:lvl w:ilvl="5" w:tplc="36B04E72">
      <w:numFmt w:val="bullet"/>
      <w:lvlText w:val="•"/>
      <w:lvlJc w:val="left"/>
      <w:pPr>
        <w:ind w:left="2862" w:hanging="97"/>
      </w:pPr>
      <w:rPr>
        <w:rFonts w:hint="default"/>
        <w:lang w:val="pl-PL" w:eastAsia="pl-PL" w:bidi="pl-PL"/>
      </w:rPr>
    </w:lvl>
    <w:lvl w:ilvl="6" w:tplc="CB9486C8">
      <w:numFmt w:val="bullet"/>
      <w:lvlText w:val="•"/>
      <w:lvlJc w:val="left"/>
      <w:pPr>
        <w:ind w:left="3374" w:hanging="97"/>
      </w:pPr>
      <w:rPr>
        <w:rFonts w:hint="default"/>
        <w:lang w:val="pl-PL" w:eastAsia="pl-PL" w:bidi="pl-PL"/>
      </w:rPr>
    </w:lvl>
    <w:lvl w:ilvl="7" w:tplc="14DEFFAE">
      <w:numFmt w:val="bullet"/>
      <w:lvlText w:val="•"/>
      <w:lvlJc w:val="left"/>
      <w:pPr>
        <w:ind w:left="3886" w:hanging="97"/>
      </w:pPr>
      <w:rPr>
        <w:rFonts w:hint="default"/>
        <w:lang w:val="pl-PL" w:eastAsia="pl-PL" w:bidi="pl-PL"/>
      </w:rPr>
    </w:lvl>
    <w:lvl w:ilvl="8" w:tplc="8048A976">
      <w:numFmt w:val="bullet"/>
      <w:lvlText w:val="•"/>
      <w:lvlJc w:val="left"/>
      <w:pPr>
        <w:ind w:left="4399" w:hanging="97"/>
      </w:pPr>
      <w:rPr>
        <w:rFonts w:hint="default"/>
        <w:lang w:val="pl-PL" w:eastAsia="pl-PL" w:bidi="pl-PL"/>
      </w:rPr>
    </w:lvl>
  </w:abstractNum>
  <w:abstractNum w:abstractNumId="8" w15:restartNumberingAfterBreak="0">
    <w:nsid w:val="344036F0"/>
    <w:multiLevelType w:val="hybridMultilevel"/>
    <w:tmpl w:val="4D6462F4"/>
    <w:lvl w:ilvl="0" w:tplc="C60EBE7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BF53E1"/>
    <w:multiLevelType w:val="hybridMultilevel"/>
    <w:tmpl w:val="6888C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D29F4"/>
    <w:multiLevelType w:val="hybridMultilevel"/>
    <w:tmpl w:val="E2AC6B96"/>
    <w:lvl w:ilvl="0" w:tplc="B3CE68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44842"/>
    <w:multiLevelType w:val="hybridMultilevel"/>
    <w:tmpl w:val="CEFC3E4C"/>
    <w:lvl w:ilvl="0" w:tplc="C82A671A">
      <w:start w:val="6"/>
      <w:numFmt w:val="lowerLetter"/>
      <w:lvlText w:val="%1)"/>
      <w:lvlJc w:val="left"/>
      <w:pPr>
        <w:ind w:left="717" w:hanging="360"/>
      </w:pPr>
      <w:rPr>
        <w:rFonts w:asciiTheme="minorHAnsi" w:eastAsia="Times New Roman" w:hAnsiTheme="minorHAnsi" w:cstheme="minorHAnsi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5E07268"/>
    <w:multiLevelType w:val="hybridMultilevel"/>
    <w:tmpl w:val="BFDCE3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765C2B"/>
    <w:multiLevelType w:val="hybridMultilevel"/>
    <w:tmpl w:val="0A6872A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47AC5"/>
    <w:multiLevelType w:val="hybridMultilevel"/>
    <w:tmpl w:val="6DD86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1F1AF1"/>
    <w:multiLevelType w:val="hybridMultilevel"/>
    <w:tmpl w:val="68FAB4B4"/>
    <w:lvl w:ilvl="0" w:tplc="2BE4582E">
      <w:start w:val="3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BDF42CD"/>
    <w:multiLevelType w:val="hybridMultilevel"/>
    <w:tmpl w:val="8882446E"/>
    <w:lvl w:ilvl="0" w:tplc="9378FC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90055"/>
    <w:multiLevelType w:val="singleLevel"/>
    <w:tmpl w:val="616841D2"/>
    <w:name w:val="WW8Num257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sz w:val="18"/>
        <w:szCs w:val="18"/>
      </w:rPr>
    </w:lvl>
  </w:abstractNum>
  <w:abstractNum w:abstractNumId="18" w15:restartNumberingAfterBreak="0">
    <w:nsid w:val="6AF75070"/>
    <w:multiLevelType w:val="hybridMultilevel"/>
    <w:tmpl w:val="689C9D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12A5F"/>
    <w:multiLevelType w:val="hybridMultilevel"/>
    <w:tmpl w:val="89202BA4"/>
    <w:lvl w:ilvl="0" w:tplc="BC02297E">
      <w:start w:val="1"/>
      <w:numFmt w:val="bullet"/>
      <w:lvlText w:val="-"/>
      <w:lvlJc w:val="left"/>
      <w:pPr>
        <w:ind w:left="17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48ED9E">
      <w:start w:val="1"/>
      <w:numFmt w:val="bullet"/>
      <w:lvlText w:val="o"/>
      <w:lvlJc w:val="left"/>
      <w:pPr>
        <w:ind w:left="11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D8710C">
      <w:start w:val="1"/>
      <w:numFmt w:val="bullet"/>
      <w:lvlText w:val="▪"/>
      <w:lvlJc w:val="left"/>
      <w:pPr>
        <w:ind w:left="18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100F1A">
      <w:start w:val="1"/>
      <w:numFmt w:val="bullet"/>
      <w:lvlText w:val="•"/>
      <w:lvlJc w:val="left"/>
      <w:pPr>
        <w:ind w:left="25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0A6EDE">
      <w:start w:val="1"/>
      <w:numFmt w:val="bullet"/>
      <w:lvlText w:val="o"/>
      <w:lvlJc w:val="left"/>
      <w:pPr>
        <w:ind w:left="330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43A71C8">
      <w:start w:val="1"/>
      <w:numFmt w:val="bullet"/>
      <w:lvlText w:val="▪"/>
      <w:lvlJc w:val="left"/>
      <w:pPr>
        <w:ind w:left="402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8E22D4">
      <w:start w:val="1"/>
      <w:numFmt w:val="bullet"/>
      <w:lvlText w:val="•"/>
      <w:lvlJc w:val="left"/>
      <w:pPr>
        <w:ind w:left="474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29796">
      <w:start w:val="1"/>
      <w:numFmt w:val="bullet"/>
      <w:lvlText w:val="o"/>
      <w:lvlJc w:val="left"/>
      <w:pPr>
        <w:ind w:left="546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420BC8">
      <w:start w:val="1"/>
      <w:numFmt w:val="bullet"/>
      <w:lvlText w:val="▪"/>
      <w:lvlJc w:val="left"/>
      <w:pPr>
        <w:ind w:left="6181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6A30DC1"/>
    <w:multiLevelType w:val="hybridMultilevel"/>
    <w:tmpl w:val="7D4C4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0"/>
  </w:num>
  <w:num w:numId="5">
    <w:abstractNumId w:val="13"/>
  </w:num>
  <w:num w:numId="6">
    <w:abstractNumId w:val="20"/>
  </w:num>
  <w:num w:numId="7">
    <w:abstractNumId w:val="16"/>
  </w:num>
  <w:num w:numId="8">
    <w:abstractNumId w:val="12"/>
  </w:num>
  <w:num w:numId="9">
    <w:abstractNumId w:val="19"/>
  </w:num>
  <w:num w:numId="10">
    <w:abstractNumId w:val="18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1"/>
  </w:num>
  <w:num w:numId="15">
    <w:abstractNumId w:val="5"/>
  </w:num>
  <w:num w:numId="16">
    <w:abstractNumId w:val="3"/>
  </w:num>
  <w:num w:numId="17">
    <w:abstractNumId w:val="9"/>
  </w:num>
  <w:num w:numId="18">
    <w:abstractNumId w:val="7"/>
  </w:num>
  <w:num w:numId="19">
    <w:abstractNumId w:val="4"/>
  </w:num>
  <w:num w:numId="20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90"/>
    <w:rsid w:val="0000390D"/>
    <w:rsid w:val="00006102"/>
    <w:rsid w:val="00012154"/>
    <w:rsid w:val="00017849"/>
    <w:rsid w:val="0004288A"/>
    <w:rsid w:val="0004605B"/>
    <w:rsid w:val="00047E37"/>
    <w:rsid w:val="00055806"/>
    <w:rsid w:val="00064CCE"/>
    <w:rsid w:val="00072F31"/>
    <w:rsid w:val="000810BC"/>
    <w:rsid w:val="0008148C"/>
    <w:rsid w:val="00094B87"/>
    <w:rsid w:val="0009524F"/>
    <w:rsid w:val="000A098B"/>
    <w:rsid w:val="000A450D"/>
    <w:rsid w:val="000A4D1C"/>
    <w:rsid w:val="000B0159"/>
    <w:rsid w:val="000B3C88"/>
    <w:rsid w:val="000C0728"/>
    <w:rsid w:val="000D7DDA"/>
    <w:rsid w:val="000E2F4E"/>
    <w:rsid w:val="000E43EC"/>
    <w:rsid w:val="000F0F11"/>
    <w:rsid w:val="000F57D6"/>
    <w:rsid w:val="000F69BA"/>
    <w:rsid w:val="000F7515"/>
    <w:rsid w:val="00106DBB"/>
    <w:rsid w:val="00114610"/>
    <w:rsid w:val="001346AA"/>
    <w:rsid w:val="001349A2"/>
    <w:rsid w:val="00137B1C"/>
    <w:rsid w:val="001432A6"/>
    <w:rsid w:val="001457FF"/>
    <w:rsid w:val="001618E1"/>
    <w:rsid w:val="001666BE"/>
    <w:rsid w:val="00190EA1"/>
    <w:rsid w:val="001A19BA"/>
    <w:rsid w:val="001A20E1"/>
    <w:rsid w:val="001A36B0"/>
    <w:rsid w:val="001A7866"/>
    <w:rsid w:val="001B0435"/>
    <w:rsid w:val="001B35B6"/>
    <w:rsid w:val="001B7C4E"/>
    <w:rsid w:val="001C0587"/>
    <w:rsid w:val="001C4030"/>
    <w:rsid w:val="001D369D"/>
    <w:rsid w:val="001D403C"/>
    <w:rsid w:val="001D4CA1"/>
    <w:rsid w:val="001D5FCC"/>
    <w:rsid w:val="001E75E4"/>
    <w:rsid w:val="001F0FBA"/>
    <w:rsid w:val="001F2BCB"/>
    <w:rsid w:val="0020465F"/>
    <w:rsid w:val="00220593"/>
    <w:rsid w:val="002350F9"/>
    <w:rsid w:val="00235871"/>
    <w:rsid w:val="00237BB0"/>
    <w:rsid w:val="00247B4B"/>
    <w:rsid w:val="00247BAE"/>
    <w:rsid w:val="0025170F"/>
    <w:rsid w:val="002520FC"/>
    <w:rsid w:val="0025578F"/>
    <w:rsid w:val="00255B6E"/>
    <w:rsid w:val="0026101C"/>
    <w:rsid w:val="002621A4"/>
    <w:rsid w:val="00264DED"/>
    <w:rsid w:val="00266987"/>
    <w:rsid w:val="00270EC2"/>
    <w:rsid w:val="00272735"/>
    <w:rsid w:val="002776CA"/>
    <w:rsid w:val="00280E8E"/>
    <w:rsid w:val="00282B97"/>
    <w:rsid w:val="002858A9"/>
    <w:rsid w:val="0028770F"/>
    <w:rsid w:val="0029515B"/>
    <w:rsid w:val="00297D35"/>
    <w:rsid w:val="002A02D8"/>
    <w:rsid w:val="002C5E19"/>
    <w:rsid w:val="002C7223"/>
    <w:rsid w:val="002D469A"/>
    <w:rsid w:val="002E2537"/>
    <w:rsid w:val="002F09A1"/>
    <w:rsid w:val="002F4090"/>
    <w:rsid w:val="00305F0D"/>
    <w:rsid w:val="003066E9"/>
    <w:rsid w:val="00310EA3"/>
    <w:rsid w:val="003135F7"/>
    <w:rsid w:val="003152A2"/>
    <w:rsid w:val="00322F1F"/>
    <w:rsid w:val="0032403D"/>
    <w:rsid w:val="003248B5"/>
    <w:rsid w:val="003361AA"/>
    <w:rsid w:val="003418B7"/>
    <w:rsid w:val="00343732"/>
    <w:rsid w:val="003439BD"/>
    <w:rsid w:val="00354B06"/>
    <w:rsid w:val="00354DF8"/>
    <w:rsid w:val="00361A72"/>
    <w:rsid w:val="0036200C"/>
    <w:rsid w:val="00367DEB"/>
    <w:rsid w:val="00371B12"/>
    <w:rsid w:val="00372783"/>
    <w:rsid w:val="0037799D"/>
    <w:rsid w:val="00380912"/>
    <w:rsid w:val="0038474A"/>
    <w:rsid w:val="00390347"/>
    <w:rsid w:val="00394161"/>
    <w:rsid w:val="0039573A"/>
    <w:rsid w:val="00396960"/>
    <w:rsid w:val="003A1171"/>
    <w:rsid w:val="003A5802"/>
    <w:rsid w:val="003B7CFA"/>
    <w:rsid w:val="003C4E74"/>
    <w:rsid w:val="003D6A14"/>
    <w:rsid w:val="003E413E"/>
    <w:rsid w:val="003F1AE1"/>
    <w:rsid w:val="00401B44"/>
    <w:rsid w:val="00416637"/>
    <w:rsid w:val="004179B0"/>
    <w:rsid w:val="00426A8C"/>
    <w:rsid w:val="00432DFA"/>
    <w:rsid w:val="004370FA"/>
    <w:rsid w:val="004403B6"/>
    <w:rsid w:val="00441FBD"/>
    <w:rsid w:val="004472AC"/>
    <w:rsid w:val="004521C9"/>
    <w:rsid w:val="004806B9"/>
    <w:rsid w:val="004856F3"/>
    <w:rsid w:val="004943FE"/>
    <w:rsid w:val="004A1A7C"/>
    <w:rsid w:val="004A24A2"/>
    <w:rsid w:val="004A4BC6"/>
    <w:rsid w:val="004A53C5"/>
    <w:rsid w:val="004A5707"/>
    <w:rsid w:val="004A5BAC"/>
    <w:rsid w:val="004A6E8D"/>
    <w:rsid w:val="004B5798"/>
    <w:rsid w:val="004B5C1A"/>
    <w:rsid w:val="004B7585"/>
    <w:rsid w:val="004C49DA"/>
    <w:rsid w:val="004D419E"/>
    <w:rsid w:val="004E04E2"/>
    <w:rsid w:val="004E22D3"/>
    <w:rsid w:val="004F156E"/>
    <w:rsid w:val="00500F54"/>
    <w:rsid w:val="0050182F"/>
    <w:rsid w:val="005039CF"/>
    <w:rsid w:val="0050759F"/>
    <w:rsid w:val="005107F4"/>
    <w:rsid w:val="005119B0"/>
    <w:rsid w:val="00512DF3"/>
    <w:rsid w:val="00512EDF"/>
    <w:rsid w:val="005136D5"/>
    <w:rsid w:val="00516614"/>
    <w:rsid w:val="00516725"/>
    <w:rsid w:val="005211CE"/>
    <w:rsid w:val="00522510"/>
    <w:rsid w:val="005258A2"/>
    <w:rsid w:val="00531312"/>
    <w:rsid w:val="0053518B"/>
    <w:rsid w:val="00540232"/>
    <w:rsid w:val="00544747"/>
    <w:rsid w:val="00560AFF"/>
    <w:rsid w:val="005616DF"/>
    <w:rsid w:val="005678DA"/>
    <w:rsid w:val="00570E15"/>
    <w:rsid w:val="00570FD8"/>
    <w:rsid w:val="0057466E"/>
    <w:rsid w:val="005772F6"/>
    <w:rsid w:val="005830D4"/>
    <w:rsid w:val="0058395C"/>
    <w:rsid w:val="00593A5D"/>
    <w:rsid w:val="005A1996"/>
    <w:rsid w:val="005A3B1D"/>
    <w:rsid w:val="005B0B2B"/>
    <w:rsid w:val="005B3B6C"/>
    <w:rsid w:val="005B68FB"/>
    <w:rsid w:val="005B6D6D"/>
    <w:rsid w:val="005C0FB6"/>
    <w:rsid w:val="005C3B46"/>
    <w:rsid w:val="005C63A9"/>
    <w:rsid w:val="005D6C3D"/>
    <w:rsid w:val="005E796C"/>
    <w:rsid w:val="005F4BF6"/>
    <w:rsid w:val="00616E7D"/>
    <w:rsid w:val="006211C5"/>
    <w:rsid w:val="006259E2"/>
    <w:rsid w:val="0065038B"/>
    <w:rsid w:val="0066006F"/>
    <w:rsid w:val="00664353"/>
    <w:rsid w:val="00666490"/>
    <w:rsid w:val="006737D6"/>
    <w:rsid w:val="00674282"/>
    <w:rsid w:val="006873B4"/>
    <w:rsid w:val="00692A87"/>
    <w:rsid w:val="006A121A"/>
    <w:rsid w:val="006A549D"/>
    <w:rsid w:val="006A7A15"/>
    <w:rsid w:val="006E525E"/>
    <w:rsid w:val="006F3009"/>
    <w:rsid w:val="007005FE"/>
    <w:rsid w:val="00701C8C"/>
    <w:rsid w:val="007224FF"/>
    <w:rsid w:val="00724186"/>
    <w:rsid w:val="00727685"/>
    <w:rsid w:val="0073384E"/>
    <w:rsid w:val="0073610A"/>
    <w:rsid w:val="00744A2A"/>
    <w:rsid w:val="00744C09"/>
    <w:rsid w:val="00755CED"/>
    <w:rsid w:val="00767861"/>
    <w:rsid w:val="0077440C"/>
    <w:rsid w:val="00783975"/>
    <w:rsid w:val="00784DA4"/>
    <w:rsid w:val="007A3354"/>
    <w:rsid w:val="007B19BC"/>
    <w:rsid w:val="007B3CC7"/>
    <w:rsid w:val="007B5CFF"/>
    <w:rsid w:val="007B6207"/>
    <w:rsid w:val="007B6CC2"/>
    <w:rsid w:val="007C1138"/>
    <w:rsid w:val="007D3795"/>
    <w:rsid w:val="007D5E6D"/>
    <w:rsid w:val="007F496B"/>
    <w:rsid w:val="007F4B92"/>
    <w:rsid w:val="0080099E"/>
    <w:rsid w:val="008023DB"/>
    <w:rsid w:val="0080428A"/>
    <w:rsid w:val="008133D0"/>
    <w:rsid w:val="008237CA"/>
    <w:rsid w:val="00823CE1"/>
    <w:rsid w:val="0083097F"/>
    <w:rsid w:val="008320B6"/>
    <w:rsid w:val="00834EEB"/>
    <w:rsid w:val="00835C8A"/>
    <w:rsid w:val="00847A6F"/>
    <w:rsid w:val="00847BE7"/>
    <w:rsid w:val="008505DF"/>
    <w:rsid w:val="008533D8"/>
    <w:rsid w:val="008561EC"/>
    <w:rsid w:val="00865908"/>
    <w:rsid w:val="00865988"/>
    <w:rsid w:val="0087493F"/>
    <w:rsid w:val="00875019"/>
    <w:rsid w:val="008762F3"/>
    <w:rsid w:val="00881C26"/>
    <w:rsid w:val="0088477E"/>
    <w:rsid w:val="0089533B"/>
    <w:rsid w:val="008A42E4"/>
    <w:rsid w:val="008A5D09"/>
    <w:rsid w:val="008A6E5B"/>
    <w:rsid w:val="008A79C4"/>
    <w:rsid w:val="008B20C4"/>
    <w:rsid w:val="008B6E51"/>
    <w:rsid w:val="008D25CC"/>
    <w:rsid w:val="008D2D0A"/>
    <w:rsid w:val="008D6C8D"/>
    <w:rsid w:val="008E1250"/>
    <w:rsid w:val="008E6927"/>
    <w:rsid w:val="008F77A6"/>
    <w:rsid w:val="00903C25"/>
    <w:rsid w:val="00904290"/>
    <w:rsid w:val="009054C7"/>
    <w:rsid w:val="0091104D"/>
    <w:rsid w:val="009213A9"/>
    <w:rsid w:val="00944791"/>
    <w:rsid w:val="009527C5"/>
    <w:rsid w:val="00961501"/>
    <w:rsid w:val="00961D75"/>
    <w:rsid w:val="00962050"/>
    <w:rsid w:val="009724C7"/>
    <w:rsid w:val="00972A5B"/>
    <w:rsid w:val="00973BE9"/>
    <w:rsid w:val="00976850"/>
    <w:rsid w:val="00977164"/>
    <w:rsid w:val="00986A6E"/>
    <w:rsid w:val="009878EA"/>
    <w:rsid w:val="00991BB4"/>
    <w:rsid w:val="009946A5"/>
    <w:rsid w:val="00994B9F"/>
    <w:rsid w:val="009B47D2"/>
    <w:rsid w:val="009B6565"/>
    <w:rsid w:val="009C28D1"/>
    <w:rsid w:val="009C4FF6"/>
    <w:rsid w:val="009C6BD1"/>
    <w:rsid w:val="009D438C"/>
    <w:rsid w:val="009D7E0E"/>
    <w:rsid w:val="009F6945"/>
    <w:rsid w:val="00A03142"/>
    <w:rsid w:val="00A06937"/>
    <w:rsid w:val="00A102BD"/>
    <w:rsid w:val="00A23D3C"/>
    <w:rsid w:val="00A311B3"/>
    <w:rsid w:val="00A34952"/>
    <w:rsid w:val="00A40EA2"/>
    <w:rsid w:val="00A42A97"/>
    <w:rsid w:val="00A540E8"/>
    <w:rsid w:val="00A61809"/>
    <w:rsid w:val="00A65ADC"/>
    <w:rsid w:val="00A7138F"/>
    <w:rsid w:val="00A83741"/>
    <w:rsid w:val="00A8440E"/>
    <w:rsid w:val="00A855A5"/>
    <w:rsid w:val="00A90309"/>
    <w:rsid w:val="00A960F0"/>
    <w:rsid w:val="00AA166B"/>
    <w:rsid w:val="00AB54DF"/>
    <w:rsid w:val="00AD6353"/>
    <w:rsid w:val="00AD71EF"/>
    <w:rsid w:val="00AF0654"/>
    <w:rsid w:val="00AF3701"/>
    <w:rsid w:val="00AF3D80"/>
    <w:rsid w:val="00B005EC"/>
    <w:rsid w:val="00B00B3A"/>
    <w:rsid w:val="00B15968"/>
    <w:rsid w:val="00B16A46"/>
    <w:rsid w:val="00B20779"/>
    <w:rsid w:val="00B31E92"/>
    <w:rsid w:val="00B35894"/>
    <w:rsid w:val="00B35B14"/>
    <w:rsid w:val="00B41E68"/>
    <w:rsid w:val="00B47279"/>
    <w:rsid w:val="00B54CA6"/>
    <w:rsid w:val="00B56771"/>
    <w:rsid w:val="00B57A85"/>
    <w:rsid w:val="00B652B5"/>
    <w:rsid w:val="00B71FFC"/>
    <w:rsid w:val="00B80259"/>
    <w:rsid w:val="00B849E8"/>
    <w:rsid w:val="00B854A3"/>
    <w:rsid w:val="00B92BA1"/>
    <w:rsid w:val="00B93122"/>
    <w:rsid w:val="00B97CE9"/>
    <w:rsid w:val="00BA0CF8"/>
    <w:rsid w:val="00BA5527"/>
    <w:rsid w:val="00BB01F8"/>
    <w:rsid w:val="00BB6282"/>
    <w:rsid w:val="00BC15C7"/>
    <w:rsid w:val="00BC3B20"/>
    <w:rsid w:val="00BD0699"/>
    <w:rsid w:val="00BD2BDB"/>
    <w:rsid w:val="00BD5262"/>
    <w:rsid w:val="00BD5E87"/>
    <w:rsid w:val="00BD68AF"/>
    <w:rsid w:val="00BD7C18"/>
    <w:rsid w:val="00BE598B"/>
    <w:rsid w:val="00BE6790"/>
    <w:rsid w:val="00BE7C62"/>
    <w:rsid w:val="00BF034F"/>
    <w:rsid w:val="00BF3F73"/>
    <w:rsid w:val="00BF43BE"/>
    <w:rsid w:val="00C04569"/>
    <w:rsid w:val="00C04AAB"/>
    <w:rsid w:val="00C12DAA"/>
    <w:rsid w:val="00C12FB9"/>
    <w:rsid w:val="00C13860"/>
    <w:rsid w:val="00C21181"/>
    <w:rsid w:val="00C213A9"/>
    <w:rsid w:val="00C26ADE"/>
    <w:rsid w:val="00C3791C"/>
    <w:rsid w:val="00C420D7"/>
    <w:rsid w:val="00C70E1A"/>
    <w:rsid w:val="00C723C3"/>
    <w:rsid w:val="00C86E21"/>
    <w:rsid w:val="00C90DB3"/>
    <w:rsid w:val="00C923B0"/>
    <w:rsid w:val="00C97F44"/>
    <w:rsid w:val="00CA07CB"/>
    <w:rsid w:val="00CB672C"/>
    <w:rsid w:val="00CB683D"/>
    <w:rsid w:val="00CC01C5"/>
    <w:rsid w:val="00CC0BF6"/>
    <w:rsid w:val="00CC3CCD"/>
    <w:rsid w:val="00CE5978"/>
    <w:rsid w:val="00CE7A0E"/>
    <w:rsid w:val="00D000D6"/>
    <w:rsid w:val="00D03807"/>
    <w:rsid w:val="00D05C59"/>
    <w:rsid w:val="00D113AC"/>
    <w:rsid w:val="00D12935"/>
    <w:rsid w:val="00D1656F"/>
    <w:rsid w:val="00D169ED"/>
    <w:rsid w:val="00D26E1F"/>
    <w:rsid w:val="00D31230"/>
    <w:rsid w:val="00D350AA"/>
    <w:rsid w:val="00D47A92"/>
    <w:rsid w:val="00D507D2"/>
    <w:rsid w:val="00D523BB"/>
    <w:rsid w:val="00D57CC8"/>
    <w:rsid w:val="00D75459"/>
    <w:rsid w:val="00D809A6"/>
    <w:rsid w:val="00D849FD"/>
    <w:rsid w:val="00D90960"/>
    <w:rsid w:val="00D91500"/>
    <w:rsid w:val="00D978A3"/>
    <w:rsid w:val="00DA62F8"/>
    <w:rsid w:val="00DB0916"/>
    <w:rsid w:val="00DB0BB6"/>
    <w:rsid w:val="00DC0D55"/>
    <w:rsid w:val="00DC3931"/>
    <w:rsid w:val="00DD4B9D"/>
    <w:rsid w:val="00DD778C"/>
    <w:rsid w:val="00DE0AC4"/>
    <w:rsid w:val="00DE433A"/>
    <w:rsid w:val="00DF3AD5"/>
    <w:rsid w:val="00DF5D0D"/>
    <w:rsid w:val="00E02115"/>
    <w:rsid w:val="00E049E0"/>
    <w:rsid w:val="00E06726"/>
    <w:rsid w:val="00E07CE7"/>
    <w:rsid w:val="00E12C5F"/>
    <w:rsid w:val="00E13F90"/>
    <w:rsid w:val="00E26E43"/>
    <w:rsid w:val="00E315F5"/>
    <w:rsid w:val="00E31CE7"/>
    <w:rsid w:val="00E366B5"/>
    <w:rsid w:val="00E40957"/>
    <w:rsid w:val="00E43377"/>
    <w:rsid w:val="00E450F0"/>
    <w:rsid w:val="00E538FF"/>
    <w:rsid w:val="00E54DB4"/>
    <w:rsid w:val="00E655A2"/>
    <w:rsid w:val="00E7401F"/>
    <w:rsid w:val="00E76104"/>
    <w:rsid w:val="00E80151"/>
    <w:rsid w:val="00E825F4"/>
    <w:rsid w:val="00EA1C0C"/>
    <w:rsid w:val="00EA7B30"/>
    <w:rsid w:val="00EB4E46"/>
    <w:rsid w:val="00EB6418"/>
    <w:rsid w:val="00EB6464"/>
    <w:rsid w:val="00EC0A18"/>
    <w:rsid w:val="00EC6467"/>
    <w:rsid w:val="00EC7127"/>
    <w:rsid w:val="00ED792E"/>
    <w:rsid w:val="00ED7CCA"/>
    <w:rsid w:val="00EE5F42"/>
    <w:rsid w:val="00EF06AD"/>
    <w:rsid w:val="00EF2944"/>
    <w:rsid w:val="00EF3042"/>
    <w:rsid w:val="00EF3090"/>
    <w:rsid w:val="00EF3D2A"/>
    <w:rsid w:val="00EF49BF"/>
    <w:rsid w:val="00EF6F03"/>
    <w:rsid w:val="00EF700E"/>
    <w:rsid w:val="00F00E85"/>
    <w:rsid w:val="00F0259F"/>
    <w:rsid w:val="00F103C3"/>
    <w:rsid w:val="00F11929"/>
    <w:rsid w:val="00F177B0"/>
    <w:rsid w:val="00F21A52"/>
    <w:rsid w:val="00F22EB6"/>
    <w:rsid w:val="00F234FD"/>
    <w:rsid w:val="00F23875"/>
    <w:rsid w:val="00F3604E"/>
    <w:rsid w:val="00F36A6C"/>
    <w:rsid w:val="00F40AE0"/>
    <w:rsid w:val="00F456DD"/>
    <w:rsid w:val="00F5306C"/>
    <w:rsid w:val="00F651D4"/>
    <w:rsid w:val="00F70AB2"/>
    <w:rsid w:val="00F81450"/>
    <w:rsid w:val="00F9021A"/>
    <w:rsid w:val="00F97930"/>
    <w:rsid w:val="00FA07FA"/>
    <w:rsid w:val="00FA6546"/>
    <w:rsid w:val="00FA6FB5"/>
    <w:rsid w:val="00FB3CA4"/>
    <w:rsid w:val="00FB6593"/>
    <w:rsid w:val="00FB7060"/>
    <w:rsid w:val="00FC2E70"/>
    <w:rsid w:val="00FD157A"/>
    <w:rsid w:val="00FD60E8"/>
    <w:rsid w:val="00FE457D"/>
    <w:rsid w:val="00FF1929"/>
    <w:rsid w:val="00FF1DA8"/>
    <w:rsid w:val="00F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16FDB"/>
  <w15:chartTrackingRefBased/>
  <w15:docId w15:val="{32C3AD8C-774D-44E3-A155-987A9F77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5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E02115"/>
    <w:pPr>
      <w:widowControl w:val="0"/>
      <w:autoSpaceDE w:val="0"/>
      <w:autoSpaceDN w:val="0"/>
      <w:ind w:left="115"/>
      <w:outlineLvl w:val="0"/>
    </w:pPr>
    <w:rPr>
      <w:rFonts w:ascii="Calibri" w:eastAsia="Calibri" w:hAnsi="Calibri" w:cs="Calibri"/>
      <w:b/>
      <w:bCs/>
      <w:sz w:val="22"/>
      <w:szCs w:val="22"/>
      <w:lang w:bidi="pl-PL"/>
    </w:rPr>
  </w:style>
  <w:style w:type="paragraph" w:styleId="Nagwek2">
    <w:name w:val="heading 2"/>
    <w:basedOn w:val="Normalny"/>
    <w:link w:val="Nagwek2Znak"/>
    <w:unhideWhenUsed/>
    <w:qFormat/>
    <w:rsid w:val="00E02115"/>
    <w:pPr>
      <w:widowControl w:val="0"/>
      <w:autoSpaceDE w:val="0"/>
      <w:autoSpaceDN w:val="0"/>
      <w:spacing w:before="41"/>
      <w:ind w:left="116"/>
      <w:jc w:val="both"/>
      <w:outlineLvl w:val="1"/>
    </w:pPr>
    <w:rPr>
      <w:rFonts w:ascii="Calibri" w:eastAsia="Calibri" w:hAnsi="Calibri" w:cs="Calibri"/>
      <w:b/>
      <w:bCs/>
      <w:i/>
      <w:sz w:val="22"/>
      <w:szCs w:val="22"/>
      <w:lang w:bidi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C28D1"/>
    <w:pPr>
      <w:keepNext/>
      <w:spacing w:before="240" w:after="60" w:line="360" w:lineRule="auto"/>
      <w:jc w:val="both"/>
      <w:outlineLvl w:val="2"/>
    </w:pPr>
    <w:rPr>
      <w:rFonts w:ascii="Amble" w:eastAsiaTheme="majorEastAsia" w:hAnsi="Amble" w:cstheme="majorBidi"/>
      <w:b/>
      <w:bCs/>
      <w:sz w:val="26"/>
      <w:szCs w:val="26"/>
      <w:lang w:eastAsia="en-US"/>
    </w:rPr>
  </w:style>
  <w:style w:type="paragraph" w:styleId="Nagwek4">
    <w:name w:val="heading 4"/>
    <w:basedOn w:val="Normalny"/>
    <w:link w:val="Nagwek4Znak"/>
    <w:unhideWhenUsed/>
    <w:qFormat/>
    <w:rsid w:val="009C28D1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881C26"/>
    <w:pPr>
      <w:keepNext/>
      <w:tabs>
        <w:tab w:val="num" w:pos="1008"/>
      </w:tabs>
      <w:suppressAutoHyphens/>
      <w:ind w:left="1008" w:hanging="1008"/>
      <w:jc w:val="center"/>
      <w:outlineLvl w:val="4"/>
    </w:pPr>
    <w:rPr>
      <w:b/>
      <w:color w:val="000000"/>
      <w:sz w:val="2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81C26"/>
    <w:pPr>
      <w:keepNext/>
      <w:tabs>
        <w:tab w:val="num" w:pos="1440"/>
      </w:tabs>
      <w:suppressAutoHyphens/>
      <w:ind w:left="142" w:hanging="142"/>
      <w:jc w:val="center"/>
      <w:outlineLvl w:val="7"/>
    </w:pPr>
    <w:rPr>
      <w:b/>
      <w:color w:val="008000"/>
      <w:sz w:val="3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666490"/>
    <w:rPr>
      <w:rFonts w:ascii="Arial" w:hAnsi="Arial" w:cs="Arial"/>
      <w:sz w:val="24"/>
      <w:szCs w:val="24"/>
    </w:rPr>
  </w:style>
  <w:style w:type="paragraph" w:styleId="Akapitzlist">
    <w:name w:val="List Paragraph"/>
    <w:aliases w:val="sw tekst,normalny tekst,CW_Lista,L1,Numerowanie,Akapit z listą BS,List Paragraph,Kolorowa lista — akcent 11,Normal,Akapit z listą3,Akapit z listą31,Wypunktowanie,Normal2,Akapit z listą4,Podsis rysunku,T_SZ_List Paragraph,Akapit z listą5"/>
    <w:basedOn w:val="Normalny"/>
    <w:link w:val="AkapitzlistZnak"/>
    <w:uiPriority w:val="34"/>
    <w:qFormat/>
    <w:rsid w:val="00666490"/>
    <w:pPr>
      <w:ind w:left="720"/>
      <w:contextualSpacing/>
    </w:pPr>
  </w:style>
  <w:style w:type="paragraph" w:customStyle="1" w:styleId="ZnakZnakZnakZnakZnakZnakZnak1">
    <w:name w:val="Znak Znak Znak Znak Znak Znak Znak1"/>
    <w:basedOn w:val="Normalny"/>
    <w:rsid w:val="005136D5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A855A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qFormat/>
    <w:rsid w:val="00A855A5"/>
  </w:style>
  <w:style w:type="character" w:styleId="Pogrubienie">
    <w:name w:val="Strong"/>
    <w:basedOn w:val="Domylnaczcionkaakapitu"/>
    <w:uiPriority w:val="22"/>
    <w:qFormat/>
    <w:rsid w:val="00A855A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8A79C4"/>
    <w:rPr>
      <w:color w:val="0563C1" w:themeColor="hyperlink"/>
      <w:u w:val="single"/>
    </w:rPr>
  </w:style>
  <w:style w:type="paragraph" w:customStyle="1" w:styleId="Default">
    <w:name w:val="Default"/>
    <w:rsid w:val="007F4B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umberList">
    <w:name w:val="Number List"/>
    <w:qFormat/>
    <w:rsid w:val="007F4B92"/>
    <w:pPr>
      <w:suppressAutoHyphens/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table" w:customStyle="1" w:styleId="TableNormal">
    <w:name w:val="Table Normal"/>
    <w:uiPriority w:val="2"/>
    <w:semiHidden/>
    <w:unhideWhenUsed/>
    <w:qFormat/>
    <w:rsid w:val="004B75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4B7585"/>
    <w:pPr>
      <w:widowControl w:val="0"/>
      <w:autoSpaceDE w:val="0"/>
      <w:autoSpaceDN w:val="0"/>
      <w:ind w:left="400"/>
    </w:pPr>
    <w:rPr>
      <w:rFonts w:ascii="Cambria" w:eastAsia="Cambria" w:hAnsi="Cambria" w:cs="Cambria"/>
      <w:sz w:val="22"/>
      <w:szCs w:val="22"/>
      <w:lang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7585"/>
    <w:rPr>
      <w:rFonts w:ascii="Cambria" w:eastAsia="Cambria" w:hAnsi="Cambria" w:cs="Cambria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4B758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pl-PL"/>
    </w:rPr>
  </w:style>
  <w:style w:type="paragraph" w:customStyle="1" w:styleId="xmsonormal">
    <w:name w:val="x_msonormal"/>
    <w:basedOn w:val="Normalny"/>
    <w:rsid w:val="004B7585"/>
    <w:rPr>
      <w:rFonts w:ascii="Calibri" w:eastAsia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E02115"/>
    <w:rPr>
      <w:rFonts w:ascii="Calibri" w:eastAsia="Calibri" w:hAnsi="Calibri" w:cs="Calibri"/>
      <w:b/>
      <w:bCs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02115"/>
    <w:rPr>
      <w:rFonts w:ascii="Calibri" w:eastAsia="Calibri" w:hAnsi="Calibri" w:cs="Calibri"/>
      <w:b/>
      <w:bCs/>
      <w:i/>
      <w:lang w:eastAsia="pl-PL" w:bidi="pl-PL"/>
    </w:rPr>
  </w:style>
  <w:style w:type="character" w:customStyle="1" w:styleId="AkapitzlistZnak">
    <w:name w:val="Akapit z listą Znak"/>
    <w:aliases w:val="sw tekst Znak,normalny tekst Znak1,CW_Lista Znak,L1 Znak,Numerowanie Znak,Akapit z listą BS Znak,List Paragraph Znak,Kolorowa lista — akcent 11 Znak,Normal Znak,Akapit z listą3 Znak,Akapit z listą31 Znak,Wypunktowanie Znak"/>
    <w:link w:val="Akapitzlist"/>
    <w:qFormat/>
    <w:locked/>
    <w:rsid w:val="009C6B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4C7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2B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B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1">
    <w:name w:val="Akapit z listą Znak1"/>
    <w:aliases w:val="normalny tekst Znak"/>
    <w:basedOn w:val="Domylnaczcionkaakapitu"/>
    <w:uiPriority w:val="34"/>
    <w:locked/>
    <w:rsid w:val="00C923B0"/>
    <w:rPr>
      <w:rFonts w:ascii="Calibri" w:hAnsi="Calibri" w:cs="Times New Roman"/>
    </w:rPr>
  </w:style>
  <w:style w:type="paragraph" w:styleId="NormalnyWeb">
    <w:name w:val="Normal (Web)"/>
    <w:basedOn w:val="Normalny"/>
    <w:unhideWhenUsed/>
    <w:rsid w:val="00C923B0"/>
    <w:pPr>
      <w:spacing w:before="100" w:beforeAutospacing="1" w:after="119"/>
    </w:pPr>
    <w:rPr>
      <w:sz w:val="24"/>
      <w:szCs w:val="24"/>
    </w:rPr>
  </w:style>
  <w:style w:type="paragraph" w:customStyle="1" w:styleId="Normal1">
    <w:name w:val="Normal1"/>
    <w:uiPriority w:val="99"/>
    <w:rsid w:val="00CE5978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styleId="Tekstprzypisudolnego">
    <w:name w:val="footnote text"/>
    <w:aliases w:val="Tekst przypisu dolnego-poligrafia"/>
    <w:basedOn w:val="Normalny"/>
    <w:link w:val="TekstprzypisudolnegoZnak"/>
    <w:uiPriority w:val="99"/>
    <w:unhideWhenUsed/>
    <w:rsid w:val="00ED792E"/>
    <w:pPr>
      <w:suppressAutoHyphens/>
    </w:pPr>
    <w:rPr>
      <w:lang w:eastAsia="ar-SA"/>
    </w:rPr>
  </w:style>
  <w:style w:type="character" w:customStyle="1" w:styleId="TekstprzypisudolnegoZnak">
    <w:name w:val="Tekst przypisu dolnego Znak"/>
    <w:aliases w:val="Tekst przypisu dolnego-poligrafia Znak"/>
    <w:basedOn w:val="Domylnaczcionkaakapitu"/>
    <w:link w:val="Tekstprzypisudolnego"/>
    <w:uiPriority w:val="99"/>
    <w:rsid w:val="00ED792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ED792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2D469A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D469A"/>
    <w:rPr>
      <w:rFonts w:ascii="Calibri" w:hAnsi="Calibri"/>
      <w:szCs w:val="21"/>
      <w:lang w:val="en-US"/>
    </w:rPr>
  </w:style>
  <w:style w:type="table" w:styleId="Tabela-Siatka">
    <w:name w:val="Table Grid"/>
    <w:basedOn w:val="Standardowy"/>
    <w:uiPriority w:val="39"/>
    <w:rsid w:val="00727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727685"/>
    <w:pPr>
      <w:widowControl w:val="0"/>
      <w:suppressLineNumbers/>
      <w:suppressAutoHyphens/>
    </w:pPr>
    <w:rPr>
      <w:kern w:val="1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2F4E"/>
    <w:pPr>
      <w:spacing w:after="120"/>
      <w:ind w:left="283"/>
    </w:pPr>
    <w:rPr>
      <w:rFonts w:ascii="Courier" w:hAnsi="Courier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2F4E"/>
    <w:rPr>
      <w:rFonts w:ascii="Courier" w:eastAsia="Times New Roman" w:hAnsi="Courier" w:cs="Times New Roman"/>
      <w:sz w:val="24"/>
      <w:szCs w:val="20"/>
      <w:lang w:eastAsia="pl-PL"/>
    </w:rPr>
  </w:style>
  <w:style w:type="paragraph" w:customStyle="1" w:styleId="Standard">
    <w:name w:val="Standard"/>
    <w:rsid w:val="000E2F4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Bezodstpw">
    <w:name w:val="No Spacing"/>
    <w:uiPriority w:val="1"/>
    <w:qFormat/>
    <w:rsid w:val="009B47D2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28D1"/>
    <w:rPr>
      <w:rFonts w:ascii="Amble" w:eastAsiaTheme="majorEastAsia" w:hAnsi="Amble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28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C28D1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rsid w:val="009C28D1"/>
    <w:pPr>
      <w:spacing w:before="100" w:beforeAutospacing="1" w:after="100" w:afterAutospacing="1"/>
    </w:pPr>
    <w:rPr>
      <w:rFonts w:ascii="Amble" w:hAnsi="Amble"/>
      <w:sz w:val="24"/>
      <w:szCs w:val="24"/>
    </w:rPr>
  </w:style>
  <w:style w:type="character" w:customStyle="1" w:styleId="TekstkomentarzaZnak">
    <w:name w:val="Tekst komentarza Znak"/>
    <w:aliases w:val="Znak Znak Znak Znak,Tekst komentarza1 Znak,Znak1 Znak,Tekst podstawowy 31 Znak Znak1,Znak Znak1 Znak,Tekst podstawowy 31 Znak Znak Znak,Tekst podstawowy 31 Znak1,Znak Znak Znak Znak Znak Znak"/>
    <w:basedOn w:val="Domylnaczcionkaakapitu"/>
    <w:link w:val="Tekstkomentarza"/>
    <w:uiPriority w:val="99"/>
    <w:locked/>
    <w:rsid w:val="009C28D1"/>
  </w:style>
  <w:style w:type="paragraph" w:styleId="Tekstkomentarza">
    <w:name w:val="annotation text"/>
    <w:aliases w:val="Znak Znak Znak,Tekst komentarza1,Znak1,Tekst podstawowy 31 Znak,Znak Znak1,Tekst podstawowy 31 Znak Znak,Tekst podstawowy 31,Znak Znak Znak Znak Znak"/>
    <w:basedOn w:val="Normalny"/>
    <w:link w:val="TekstkomentarzaZnak"/>
    <w:uiPriority w:val="99"/>
    <w:unhideWhenUsed/>
    <w:rsid w:val="009C28D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komentarzaZnak1">
    <w:name w:val="Tekst komentarza Znak1"/>
    <w:aliases w:val="Znak Znak Znak Znak1,Tekst komentarza1 Znak1,Znak1 Znak1,Tekst podstawowy 31 Znak Znak2,Znak Znak1 Znak1,Tekst podstawowy 31 Znak Znak Znak1,Tekst podstawowy 31 Znak2,Znak Znak Znak Znak Znak Znak1"/>
    <w:basedOn w:val="Domylnaczcionkaakapitu"/>
    <w:uiPriority w:val="99"/>
    <w:semiHidden/>
    <w:rsid w:val="009C28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28D1"/>
    <w:pPr>
      <w:spacing w:before="60" w:after="160" w:line="360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C28D1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1"/>
    <w:qFormat/>
    <w:rsid w:val="009C28D1"/>
    <w:pPr>
      <w:widowControl w:val="0"/>
      <w:suppressAutoHyphens/>
      <w:jc w:val="center"/>
    </w:pPr>
    <w:rPr>
      <w:rFonts w:ascii="Arial" w:eastAsia="Lucida Sans Unicode" w:hAnsi="Arial" w:cs="Tahoma"/>
      <w:b/>
      <w:bCs/>
      <w:kern w:val="2"/>
      <w:sz w:val="22"/>
    </w:rPr>
  </w:style>
  <w:style w:type="character" w:customStyle="1" w:styleId="TytuZnak">
    <w:name w:val="Tytuł Znak"/>
    <w:basedOn w:val="Domylnaczcionkaakapitu"/>
    <w:uiPriority w:val="10"/>
    <w:rsid w:val="009C28D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dpis">
    <w:name w:val="Signature"/>
    <w:basedOn w:val="Normalny"/>
    <w:link w:val="PodpisZnak"/>
    <w:uiPriority w:val="99"/>
    <w:semiHidden/>
    <w:unhideWhenUsed/>
    <w:rsid w:val="009C28D1"/>
    <w:pPr>
      <w:suppressAutoHyphens/>
      <w:jc w:val="center"/>
    </w:pPr>
    <w:rPr>
      <w:rFonts w:ascii="Arial" w:hAnsi="Arial" w:cs="Arial"/>
      <w:b/>
      <w:bCs/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9C28D1"/>
    <w:rPr>
      <w:rFonts w:ascii="Arial" w:eastAsia="Times New Roman" w:hAnsi="Arial" w:cs="Arial"/>
      <w:b/>
      <w:bCs/>
      <w:i/>
      <w:i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9C28D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C28D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8D1"/>
    <w:pPr>
      <w:spacing w:before="60" w:after="60" w:line="240" w:lineRule="auto"/>
      <w:jc w:val="both"/>
    </w:pPr>
    <w:rPr>
      <w:rFonts w:ascii="Amble" w:hAnsi="Amble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9C28D1"/>
    <w:rPr>
      <w:rFonts w:ascii="Amble" w:eastAsia="Times New Roman" w:hAnsi="Amble" w:cs="Times New Roman"/>
      <w:b/>
      <w:bCs/>
      <w:sz w:val="20"/>
      <w:szCs w:val="20"/>
      <w:lang w:eastAsia="pl-PL"/>
    </w:rPr>
  </w:style>
  <w:style w:type="paragraph" w:customStyle="1" w:styleId="scfAnschrift">
    <w:name w:val="scfAnschrift"/>
    <w:basedOn w:val="Normalny"/>
    <w:rsid w:val="009C28D1"/>
    <w:pPr>
      <w:tabs>
        <w:tab w:val="left" w:pos="1134"/>
      </w:tabs>
      <w:spacing w:line="220" w:lineRule="exact"/>
    </w:pPr>
    <w:rPr>
      <w:rFonts w:ascii="Arial" w:hAnsi="Arial"/>
      <w:lang w:val="de-DE" w:eastAsia="de-DE"/>
    </w:rPr>
  </w:style>
  <w:style w:type="paragraph" w:customStyle="1" w:styleId="scfvertrauen">
    <w:name w:val="scf_vertrauen"/>
    <w:basedOn w:val="Normalny"/>
    <w:rsid w:val="009C28D1"/>
    <w:pPr>
      <w:spacing w:before="460" w:line="220" w:lineRule="exact"/>
    </w:pPr>
    <w:rPr>
      <w:rFonts w:ascii="Calibri" w:hAnsi="Calibri"/>
      <w:noProof/>
      <w:lang w:val="en-US" w:eastAsia="de-DE"/>
    </w:rPr>
  </w:style>
  <w:style w:type="paragraph" w:customStyle="1" w:styleId="scfpostal">
    <w:name w:val="scf_postal"/>
    <w:basedOn w:val="Normalny"/>
    <w:rsid w:val="009C28D1"/>
    <w:pPr>
      <w:spacing w:line="160" w:lineRule="exact"/>
    </w:pPr>
    <w:rPr>
      <w:rFonts w:ascii="Calibri" w:hAnsi="Calibri"/>
      <w:noProof/>
      <w:sz w:val="14"/>
      <w:lang w:val="en-US" w:eastAsia="de-DE"/>
    </w:rPr>
  </w:style>
  <w:style w:type="paragraph" w:customStyle="1" w:styleId="scfnutzer">
    <w:name w:val="scfnutzer"/>
    <w:basedOn w:val="Normalny"/>
    <w:rsid w:val="009C28D1"/>
    <w:pPr>
      <w:spacing w:line="180" w:lineRule="exact"/>
    </w:pPr>
    <w:rPr>
      <w:rFonts w:ascii="Calibri" w:hAnsi="Calibri"/>
      <w:noProof/>
      <w:sz w:val="16"/>
      <w:lang w:val="en-US" w:eastAsia="de-DE"/>
    </w:rPr>
  </w:style>
  <w:style w:type="paragraph" w:customStyle="1" w:styleId="scfdatum">
    <w:name w:val="scf_datum"/>
    <w:basedOn w:val="scfnutzer"/>
    <w:rsid w:val="009C28D1"/>
  </w:style>
  <w:style w:type="paragraph" w:customStyle="1" w:styleId="scfbrieftext">
    <w:name w:val="scfbrieftext"/>
    <w:basedOn w:val="Normalny"/>
    <w:rsid w:val="009C28D1"/>
    <w:rPr>
      <w:rFonts w:ascii="Calibri" w:hAnsi="Calibri"/>
      <w:lang w:val="en-US" w:eastAsia="de-DE"/>
    </w:rPr>
  </w:style>
  <w:style w:type="paragraph" w:customStyle="1" w:styleId="scfuz">
    <w:name w:val="scf_uz"/>
    <w:basedOn w:val="scfnutzer"/>
    <w:rsid w:val="009C28D1"/>
  </w:style>
  <w:style w:type="paragraph" w:customStyle="1" w:styleId="arimr">
    <w:name w:val="arimr"/>
    <w:basedOn w:val="Normalny"/>
    <w:rsid w:val="009C28D1"/>
    <w:pPr>
      <w:widowControl w:val="0"/>
      <w:suppressAutoHyphens/>
      <w:spacing w:line="360" w:lineRule="auto"/>
    </w:pPr>
    <w:rPr>
      <w:rFonts w:eastAsia="Lucida Sans Unicode" w:cs="Tahoma"/>
      <w:kern w:val="2"/>
      <w:sz w:val="24"/>
      <w:lang w:val="en-US" w:eastAsia="zh-CN"/>
    </w:rPr>
  </w:style>
  <w:style w:type="paragraph" w:customStyle="1" w:styleId="Nagwek10">
    <w:name w:val="Nagłówek1"/>
    <w:basedOn w:val="Normalny"/>
    <w:next w:val="Podtytu"/>
    <w:rsid w:val="009C28D1"/>
    <w:pPr>
      <w:widowControl w:val="0"/>
      <w:suppressAutoHyphens/>
      <w:jc w:val="center"/>
    </w:pPr>
    <w:rPr>
      <w:rFonts w:ascii="Arial" w:eastAsia="Lucida Sans Unicode" w:hAnsi="Arial" w:cs="Arial"/>
      <w:b/>
      <w:bCs/>
      <w:kern w:val="2"/>
      <w:sz w:val="22"/>
      <w:lang w:eastAsia="zh-CN"/>
    </w:rPr>
  </w:style>
  <w:style w:type="paragraph" w:customStyle="1" w:styleId="Bezodstpw1">
    <w:name w:val="Bez odstępów1"/>
    <w:rsid w:val="009C28D1"/>
    <w:pPr>
      <w:spacing w:after="0" w:line="240" w:lineRule="auto"/>
    </w:pPr>
    <w:rPr>
      <w:rFonts w:ascii="Cambria" w:eastAsia="Times New Roman" w:hAnsi="Cambria" w:cs="Cambria"/>
      <w:sz w:val="24"/>
      <w:szCs w:val="24"/>
      <w:lang w:val="cs-CZ" w:eastAsia="pl-PL"/>
    </w:rPr>
  </w:style>
  <w:style w:type="character" w:customStyle="1" w:styleId="ListParagraphChar">
    <w:name w:val="List Paragraph Char"/>
    <w:link w:val="Akapitzlist1"/>
    <w:locked/>
    <w:rsid w:val="009C28D1"/>
    <w:rPr>
      <w:lang w:val="x-none"/>
    </w:rPr>
  </w:style>
  <w:style w:type="paragraph" w:customStyle="1" w:styleId="Akapitzlist1">
    <w:name w:val="Akapit z listą1"/>
    <w:basedOn w:val="Normalny"/>
    <w:link w:val="ListParagraphChar"/>
    <w:rsid w:val="009C28D1"/>
    <w:pPr>
      <w:suppressAutoHyphens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9C28D1"/>
    <w:rPr>
      <w:sz w:val="16"/>
      <w:szCs w:val="16"/>
    </w:rPr>
  </w:style>
  <w:style w:type="character" w:customStyle="1" w:styleId="TytuZnak1">
    <w:name w:val="Tytuł Znak1"/>
    <w:link w:val="Tytu"/>
    <w:locked/>
    <w:rsid w:val="009C28D1"/>
    <w:rPr>
      <w:rFonts w:ascii="Arial" w:eastAsia="Lucida Sans Unicode" w:hAnsi="Arial" w:cs="Tahoma"/>
      <w:b/>
      <w:bCs/>
      <w:kern w:val="2"/>
      <w:szCs w:val="20"/>
      <w:lang w:eastAsia="pl-PL"/>
    </w:rPr>
  </w:style>
  <w:style w:type="character" w:customStyle="1" w:styleId="Domylnaczcionkaakapitu1">
    <w:name w:val="Domyślna czcionka akapitu1"/>
    <w:rsid w:val="009C28D1"/>
  </w:style>
  <w:style w:type="numbering" w:customStyle="1" w:styleId="WWNum13">
    <w:name w:val="WWNum13"/>
    <w:rsid w:val="009C28D1"/>
    <w:pPr>
      <w:numPr>
        <w:numId w:val="2"/>
      </w:numPr>
    </w:pPr>
  </w:style>
  <w:style w:type="paragraph" w:customStyle="1" w:styleId="AbsatzTableFormat">
    <w:name w:val="AbsatzTableFormat"/>
    <w:basedOn w:val="Normalny"/>
    <w:autoRedefine/>
    <w:rsid w:val="00AF3D80"/>
    <w:pPr>
      <w:ind w:right="102"/>
    </w:pPr>
    <w:rPr>
      <w:rFonts w:ascii="Arial" w:hAnsi="Arial" w:cs="Arial"/>
      <w:color w:val="FF0000"/>
    </w:rPr>
  </w:style>
  <w:style w:type="table" w:customStyle="1" w:styleId="Tabela-Siatka2">
    <w:name w:val="Tabela - Siatka2"/>
    <w:basedOn w:val="Standardowy"/>
    <w:next w:val="Tabela-Siatka"/>
    <w:rsid w:val="00DF3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rsid w:val="00881C26"/>
    <w:rPr>
      <w:rFonts w:ascii="Times New Roman" w:eastAsia="Times New Roman" w:hAnsi="Times New Roman" w:cs="Times New Roman"/>
      <w:b/>
      <w:color w:val="000000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881C26"/>
    <w:rPr>
      <w:rFonts w:ascii="Times New Roman" w:eastAsia="Times New Roman" w:hAnsi="Times New Roman" w:cs="Times New Roman"/>
      <w:b/>
      <w:color w:val="008000"/>
      <w:sz w:val="3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2887</Words>
  <Characters>17325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 Babizewski</dc:creator>
  <cp:keywords/>
  <dc:description/>
  <cp:lastModifiedBy>Specjalistyczny Szpital w Ciechanowie Specjalistyczny Szpital w Ciechanowie</cp:lastModifiedBy>
  <cp:revision>15</cp:revision>
  <cp:lastPrinted>2021-05-11T11:43:00Z</cp:lastPrinted>
  <dcterms:created xsi:type="dcterms:W3CDTF">2021-05-17T04:54:00Z</dcterms:created>
  <dcterms:modified xsi:type="dcterms:W3CDTF">2021-05-20T11:20:00Z</dcterms:modified>
</cp:coreProperties>
</file>