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2532289E" w:rsidR="00347328" w:rsidRDefault="008B11AF" w:rsidP="008B11AF">
      <w:pPr>
        <w:pStyle w:val="Nagwek1"/>
        <w:spacing w:line="205" w:lineRule="exact"/>
        <w:ind w:left="0"/>
      </w:pPr>
      <w:r w:rsidRPr="008B11AF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8B11AF">
        <w:rPr>
          <w:bCs w:val="0"/>
          <w:i/>
        </w:rPr>
        <w:t xml:space="preserve"> – dotyczy przetargu nieograniczonego na dostawę wyposażenia medycznego, w ramach zadania pn. Modernizacja i doposażenie oddziałów szpitalnych" - Oddział Dziecięcy z Chirurgią Dziecięcą ZP/2501/74/21</w:t>
      </w: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63770D"/>
    <w:rsid w:val="0066209C"/>
    <w:rsid w:val="00681C30"/>
    <w:rsid w:val="006E509E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3</cp:revision>
  <cp:lastPrinted>2021-02-03T07:34:00Z</cp:lastPrinted>
  <dcterms:created xsi:type="dcterms:W3CDTF">2021-06-25T09:45:00Z</dcterms:created>
  <dcterms:modified xsi:type="dcterms:W3CDTF">2021-06-25T09:46:00Z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