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06B413AA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FC1A34">
        <w:rPr>
          <w:rFonts w:ascii="Arial" w:eastAsia="Times New Roman" w:hAnsi="Arial" w:cs="Arial"/>
          <w:b/>
          <w:sz w:val="18"/>
          <w:szCs w:val="18"/>
          <w:lang w:eastAsia="pl-PL"/>
        </w:rPr>
        <w:t>101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CC87FDF" w14:textId="0A85D754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FC1A34">
        <w:rPr>
          <w:rFonts w:ascii="Arial" w:eastAsia="Times New Roman" w:hAnsi="Arial" w:cs="Arial"/>
          <w:b/>
          <w:sz w:val="18"/>
          <w:szCs w:val="18"/>
          <w:lang w:eastAsia="pl-PL"/>
        </w:rPr>
        <w:t>aparatu USG do echo serca</w:t>
      </w:r>
      <w:r w:rsidR="00627E44"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02DE52BA" w14:textId="77777777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50C86F4E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3C415C">
        <w:rPr>
          <w:rFonts w:ascii="Arial" w:eastAsia="Times New Roman" w:hAnsi="Arial" w:cs="Arial"/>
          <w:b/>
          <w:sz w:val="18"/>
          <w:szCs w:val="18"/>
          <w:lang w:eastAsia="pl-PL"/>
        </w:rPr>
        <w:t>00180747/01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dnia 2021-</w:t>
      </w:r>
      <w:r w:rsidR="003C415C">
        <w:rPr>
          <w:rFonts w:ascii="Arial" w:eastAsia="Times New Roman" w:hAnsi="Arial" w:cs="Arial"/>
          <w:b/>
          <w:sz w:val="18"/>
          <w:szCs w:val="18"/>
          <w:lang w:eastAsia="pl-PL"/>
        </w:rPr>
        <w:t>09-15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DDC7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2F155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51DA0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27412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11B92F9F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627E4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02695DF6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3C415C">
        <w:rPr>
          <w:rFonts w:ascii="Arial" w:eastAsia="Times New Roman" w:hAnsi="Arial" w:cs="Arial"/>
          <w:sz w:val="18"/>
          <w:szCs w:val="18"/>
          <w:lang w:eastAsia="pl-PL"/>
        </w:rPr>
        <w:t>15.</w:t>
      </w:r>
      <w:r w:rsidR="00C6451F">
        <w:rPr>
          <w:rFonts w:ascii="Arial" w:eastAsia="Times New Roman" w:hAnsi="Arial" w:cs="Arial"/>
          <w:sz w:val="18"/>
          <w:szCs w:val="18"/>
          <w:lang w:eastAsia="pl-PL"/>
        </w:rPr>
        <w:t>09.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32228406" w:rsidR="00C8737F" w:rsidRPr="00C8737F" w:rsidRDefault="007D2CD2" w:rsidP="00FC1A34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2F97EB" wp14:editId="49E405FC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2645410" cy="1882775"/>
            <wp:effectExtent l="0" t="0" r="254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88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AB6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C6D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A1064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7A465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8E66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DAACE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27939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731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2788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7A1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463E04" w14:textId="74FCD28D" w:rsidR="00C8737F" w:rsidRDefault="00C8737F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245DAC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54325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CC8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1BCA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EC5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C1A1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1F47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B783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B7BCA" w14:textId="34A9A0BA" w:rsidR="00C8737F" w:rsidRDefault="00C873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87DCA1" w14:textId="7927FD41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B8E9E" w14:textId="380AFB5F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5A394A" w14:textId="5854943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DA24" w14:textId="244E75B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6B0C3" w14:textId="28B82D64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B2153E" w14:textId="16E5C30B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7777777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21FFEDB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FC1A34">
        <w:rPr>
          <w:rFonts w:ascii="Arial" w:eastAsia="Times New Roman" w:hAnsi="Arial" w:cs="Arial"/>
          <w:b/>
          <w:sz w:val="18"/>
          <w:szCs w:val="18"/>
          <w:lang w:eastAsia="pl-PL"/>
        </w:rPr>
        <w:t>101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8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9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10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DB73A2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DB73A2">
      <w:pPr>
        <w:numPr>
          <w:ilvl w:val="0"/>
          <w:numId w:val="28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DB73A2">
      <w:pPr>
        <w:widowControl w:val="0"/>
        <w:numPr>
          <w:ilvl w:val="0"/>
          <w:numId w:val="29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DB73A2">
      <w:pPr>
        <w:widowControl w:val="0"/>
        <w:numPr>
          <w:ilvl w:val="0"/>
          <w:numId w:val="28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DB73A2">
      <w:pPr>
        <w:numPr>
          <w:ilvl w:val="0"/>
          <w:numId w:val="34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65294E1E" w:rsidR="002A6474" w:rsidRPr="002A6474" w:rsidRDefault="002A6474" w:rsidP="00DB73A2">
      <w:pPr>
        <w:numPr>
          <w:ilvl w:val="0"/>
          <w:numId w:val="3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</w:t>
      </w:r>
      <w:r w:rsidR="00AA08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aparatu USG do echo serca</w:t>
      </w: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577414DF" w:rsidR="002A6474" w:rsidRPr="002A6474" w:rsidRDefault="002A6474" w:rsidP="00DB73A2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76AA8DC8" w14:textId="1B519A89" w:rsidR="002A6474" w:rsidRPr="002A6474" w:rsidRDefault="002A6474" w:rsidP="00DB73A2">
      <w:pPr>
        <w:numPr>
          <w:ilvl w:val="0"/>
          <w:numId w:val="3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plik. doc: wymagania wobec przedmiotu dostawy (formularz ofertowy – zał. nr 2a do swz)</w:t>
      </w:r>
    </w:p>
    <w:p w14:paraId="080E26C6" w14:textId="77777777" w:rsidR="002A6474" w:rsidRPr="002A6474" w:rsidRDefault="002A6474" w:rsidP="00DB73A2">
      <w:pPr>
        <w:numPr>
          <w:ilvl w:val="0"/>
          <w:numId w:val="3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0071903D" w:rsidR="002A6474" w:rsidRPr="002A6474" w:rsidRDefault="002A6474" w:rsidP="00DB73A2">
      <w:pPr>
        <w:numPr>
          <w:ilvl w:val="0"/>
          <w:numId w:val="3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2A6474" w:rsidRDefault="002A6474" w:rsidP="00DB73A2">
      <w:pPr>
        <w:numPr>
          <w:ilvl w:val="0"/>
          <w:numId w:val="3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  <w:tc>
          <w:tcPr>
            <w:tcW w:w="3516" w:type="dxa"/>
          </w:tcPr>
          <w:p w14:paraId="27E092A1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medyczne</w:t>
            </w:r>
          </w:p>
        </w:tc>
      </w:tr>
    </w:tbl>
    <w:p w14:paraId="2D6CDCC8" w14:textId="02C796E4" w:rsidR="00C8737F" w:rsidRPr="00DB4AB5" w:rsidRDefault="002A6474" w:rsidP="00DB73A2">
      <w:pPr>
        <w:numPr>
          <w:ilvl w:val="0"/>
          <w:numId w:val="35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Zamawiający </w:t>
      </w:r>
      <w:r w:rsidR="00DB4AB5">
        <w:rPr>
          <w:rFonts w:ascii="Arial" w:eastAsia="Times New Roman" w:hAnsi="Arial" w:cs="Arial"/>
          <w:sz w:val="18"/>
          <w:szCs w:val="18"/>
          <w:lang w:eastAsia="pl-PL"/>
        </w:rPr>
        <w:t xml:space="preserve">nie 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>wyraża zgod</w:t>
      </w:r>
      <w:r w:rsidR="00DB4AB5">
        <w:rPr>
          <w:rFonts w:ascii="Arial" w:eastAsia="Times New Roman" w:hAnsi="Arial" w:cs="Arial"/>
          <w:sz w:val="18"/>
          <w:szCs w:val="18"/>
          <w:lang w:eastAsia="pl-PL"/>
        </w:rPr>
        <w:t>y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 xml:space="preserve"> na złożenie ofert częściowych</w:t>
      </w:r>
      <w:r w:rsidR="00DB4AB5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45EA70B" w14:textId="31514D1E" w:rsidR="00C8737F" w:rsidRPr="00DB4AB5" w:rsidRDefault="00C8737F" w:rsidP="00DB73A2">
      <w:pPr>
        <w:pStyle w:val="Akapitzlist"/>
        <w:numPr>
          <w:ilvl w:val="0"/>
          <w:numId w:val="35"/>
        </w:numPr>
        <w:tabs>
          <w:tab w:val="num" w:pos="1440"/>
        </w:tabs>
        <w:ind w:left="426" w:right="57" w:hanging="426"/>
        <w:rPr>
          <w:sz w:val="18"/>
        </w:rPr>
      </w:pPr>
      <w:r w:rsidRPr="00DB4AB5">
        <w:rPr>
          <w:sz w:val="18"/>
        </w:rPr>
        <w:t>Zamawiający nie dopuszcza składania ofert wariantowych.</w:t>
      </w:r>
    </w:p>
    <w:p w14:paraId="7E3B2849" w14:textId="30D87DFF" w:rsidR="00C8737F" w:rsidRDefault="00C8737F" w:rsidP="00DB73A2">
      <w:pPr>
        <w:pStyle w:val="Akapitzlist"/>
        <w:numPr>
          <w:ilvl w:val="0"/>
          <w:numId w:val="35"/>
        </w:numPr>
        <w:ind w:left="426" w:right="57" w:hanging="426"/>
        <w:rPr>
          <w:sz w:val="18"/>
        </w:rPr>
      </w:pPr>
      <w:bookmarkStart w:id="15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7C665E20" w14:textId="77777777" w:rsidR="00DB4AB5" w:rsidRPr="00DB4AB5" w:rsidRDefault="00DB4AB5" w:rsidP="00DB4AB5">
      <w:pPr>
        <w:ind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45190908"/>
      <w:bookmarkEnd w:id="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lastRenderedPageBreak/>
        <w:t>VI. Termin wykonania zamówienia</w:t>
      </w:r>
      <w:bookmarkEnd w:id="16"/>
    </w:p>
    <w:p w14:paraId="4CD0DA76" w14:textId="1D232128" w:rsidR="007E09AC" w:rsidRPr="007E09AC" w:rsidRDefault="00240453" w:rsidP="007E09AC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2D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 dnia </w:t>
      </w:r>
      <w:r w:rsidR="00B23BB7" w:rsidRPr="00AA2D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29</w:t>
      </w:r>
      <w:r w:rsidRPr="00AA2D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.1</w:t>
      </w:r>
      <w:r w:rsidR="00B23BB7" w:rsidRPr="00AA2D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</w:t>
      </w:r>
      <w:r w:rsidRPr="00AA2DE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.2021 r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141C6DC" w14:textId="77777777" w:rsidR="00C8737F" w:rsidRPr="00C8737F" w:rsidRDefault="00C8737F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2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DB73A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3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777777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Michał Kiszkurno - 23 / 673 03 47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m.kiszkurno@szpitalciechanow.com.pl</w:t>
        </w:r>
      </w:hyperlink>
    </w:p>
    <w:p w14:paraId="7E2FE429" w14:textId="77777777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DB73A2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3E69F7E1" w14:textId="77777777" w:rsidR="00C8737F" w:rsidRPr="00C8737F" w:rsidRDefault="00C8737F" w:rsidP="00DB73A2">
      <w:pPr>
        <w:numPr>
          <w:ilvl w:val="0"/>
          <w:numId w:val="3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DB73A2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DB73A2">
      <w:pPr>
        <w:numPr>
          <w:ilvl w:val="0"/>
          <w:numId w:val="3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2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2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7AE04A70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0994A37A" w14:textId="77777777" w:rsidR="00C8737F" w:rsidRPr="00C8737F" w:rsidRDefault="00C8737F" w:rsidP="00DB73A2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Hlk58413704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3"/>
    <w:p w14:paraId="26504262" w14:textId="77777777" w:rsidR="00C8737F" w:rsidRPr="00C8737F" w:rsidRDefault="00C8737F" w:rsidP="00C8737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700F72E1" w14:textId="77777777" w:rsidR="00C8737F" w:rsidRPr="00C8737F" w:rsidRDefault="00C8737F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Formularz cenowy – zestawienie asortymentowo-wartościowe załącznik nr 2 do SWZ.</w:t>
      </w:r>
      <w:r w:rsidRPr="00C8737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C8737F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1BB7144E" w14:textId="77777777" w:rsidR="00C8737F" w:rsidRPr="00C8737F" w:rsidRDefault="00C8737F" w:rsidP="00DB73A2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4" w:name="_Hlk5883825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Przedmiotowe środki dowodowe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 n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astępujące </w:t>
      </w:r>
      <w:bookmarkEnd w:id="24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przedmiotowe środki dowodowe, w celu potwierdzeniu zgodności oferowanych dostaw z wymaganiami określonymi w opisie przedmiotu zamówienia</w:t>
      </w:r>
    </w:p>
    <w:p w14:paraId="5992C3D5" w14:textId="77777777" w:rsidR="00C8737F" w:rsidRPr="00C8737F" w:rsidRDefault="00C8737F" w:rsidP="00DB73A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6E6FB7DD" w14:textId="77777777" w:rsidR="00C8737F" w:rsidRPr="00C8737F" w:rsidRDefault="00C8737F" w:rsidP="00DB73A2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Karty charakterystyki, katalogi, zdjęcia, foldery, adresy stron internetowych itp. dotyczących przedmiotu oferty,</w:t>
      </w:r>
    </w:p>
    <w:p w14:paraId="4EED924B" w14:textId="77777777" w:rsidR="00C8737F" w:rsidRPr="00C8737F" w:rsidRDefault="00C8737F" w:rsidP="00DB73A2">
      <w:pPr>
        <w:numPr>
          <w:ilvl w:val="0"/>
          <w:numId w:val="23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991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podmiotowe: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5"/>
    <w:p w14:paraId="0B122E93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53918362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A3978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62B7587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C489A14" w14:textId="77777777" w:rsidR="00C8737F" w:rsidRPr="00C8737F" w:rsidRDefault="00C8737F" w:rsidP="00DB73A2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684BC987" w14:textId="77777777" w:rsidR="00C8737F" w:rsidRPr="00C8737F" w:rsidRDefault="00C8737F" w:rsidP="00C8737F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Wszystkie dokumenty, o których mowa w pkt 3.3., winny być opatrzone kwalifikowanym podpisem elektronicznym, zaufanym lub osobistym,</w:t>
      </w:r>
    </w:p>
    <w:p w14:paraId="32A403FD" w14:textId="77777777" w:rsidR="00ED131C" w:rsidRPr="00793FC3" w:rsidRDefault="00ED131C" w:rsidP="00DB73A2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93FC3">
        <w:rPr>
          <w:rFonts w:ascii="Arial" w:eastAsia="Times New Roman" w:hAnsi="Arial" w:cs="Arial"/>
          <w:b/>
          <w:sz w:val="18"/>
          <w:szCs w:val="18"/>
          <w:lang w:eastAsia="pl-PL"/>
        </w:rPr>
        <w:t>Zamawiający prosi składanie oferty zgodnie z Instrukcją ofertowania elektronicznego, opublikowaną wraz z dokumentami postępowania:</w:t>
      </w:r>
    </w:p>
    <w:p w14:paraId="5939C8B1" w14:textId="77777777" w:rsidR="00ED131C" w:rsidRPr="00AA4367" w:rsidRDefault="00ED131C" w:rsidP="00DB73A2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bCs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18D50898" w14:textId="77777777" w:rsidR="00ED131C" w:rsidRPr="00AA4367" w:rsidRDefault="00ED131C" w:rsidP="00DB73A2">
      <w:pPr>
        <w:numPr>
          <w:ilvl w:val="0"/>
          <w:numId w:val="36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10 MG – w polu OFERTA</w:t>
      </w:r>
    </w:p>
    <w:p w14:paraId="3FB75DF9" w14:textId="77777777" w:rsidR="00ED131C" w:rsidRPr="00AA4367" w:rsidRDefault="00ED131C" w:rsidP="00DB73A2">
      <w:pPr>
        <w:numPr>
          <w:ilvl w:val="0"/>
          <w:numId w:val="36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AA4367">
        <w:rPr>
          <w:rFonts w:ascii="Arial" w:eastAsia="Times New Roman" w:hAnsi="Arial" w:cs="Arial"/>
          <w:sz w:val="18"/>
          <w:szCs w:val="18"/>
          <w:lang w:eastAsia="pl-PL"/>
        </w:rPr>
        <w:t>50 MG – w polu ZAŁĄCZNIKI</w:t>
      </w:r>
    </w:p>
    <w:p w14:paraId="7C53B6D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B51FE" w14:textId="77777777" w:rsidR="00C8737F" w:rsidRPr="00C8737F" w:rsidRDefault="00C8737F" w:rsidP="00DB73A2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DB73A2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DB73A2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DB73A2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lastRenderedPageBreak/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6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6"/>
    </w:p>
    <w:p w14:paraId="54227298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646B4B14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BF27E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24</w:t>
      </w:r>
      <w:r w:rsidR="00187E1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.09.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DB73A2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7"/>
    </w:p>
    <w:p w14:paraId="2469D575" w14:textId="29068621" w:rsidR="00C8737F" w:rsidRPr="00C8737F" w:rsidRDefault="00C8737F" w:rsidP="00DB73A2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BF27E4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24</w:t>
      </w:r>
      <w:r w:rsidR="00187E17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.09.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DB73A2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DB73A2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DB73A2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DB73A2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DB73A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8"/>
    </w:p>
    <w:p w14:paraId="1AB268AA" w14:textId="77777777" w:rsidR="00C8737F" w:rsidRPr="00C8737F" w:rsidRDefault="00C8737F" w:rsidP="00DB73A2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DB73A2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DB73A2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DB73A2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DB73A2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DB73A2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DB73A2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DB73A2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DB73A2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DB73A2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DB73A2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DB73A2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DB73A2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DB73A2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DB73A2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DB73A2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29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095D2B4C" w14:textId="77777777" w:rsidR="00A93048" w:rsidRPr="00A93048" w:rsidRDefault="00A93048" w:rsidP="00DB73A2">
      <w:pPr>
        <w:numPr>
          <w:ilvl w:val="0"/>
          <w:numId w:val="37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Przy wyborze oferty najkorzystniejszej zamawiający będzie kierował się następującymi kryteriami, z przypisaniem im odpowiednio wag</w:t>
      </w:r>
    </w:p>
    <w:p w14:paraId="5652AB12" w14:textId="77777777" w:rsidR="00A93048" w:rsidRPr="00A93048" w:rsidRDefault="00A93048" w:rsidP="00DB73A2">
      <w:pPr>
        <w:numPr>
          <w:ilvl w:val="0"/>
          <w:numId w:val="43"/>
        </w:numPr>
        <w:suppressAutoHyphens/>
        <w:spacing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Cena oferty brutto</w:t>
      </w:r>
      <w:r w:rsidRPr="00A93048">
        <w:rPr>
          <w:rFonts w:ascii="Arial" w:eastAsia="Arial" w:hAnsi="Arial" w:cs="Arial"/>
          <w:color w:val="FF0000"/>
          <w:kern w:val="1"/>
          <w:sz w:val="18"/>
          <w:szCs w:val="18"/>
          <w:lang w:eastAsia="zh-CN" w:bidi="hi-IN"/>
        </w:rPr>
        <w:t xml:space="preserve">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– 80% (80,00 pkt)</w:t>
      </w:r>
    </w:p>
    <w:p w14:paraId="232EF439" w14:textId="03CB0E82" w:rsidR="00A93048" w:rsidRPr="00A93048" w:rsidRDefault="00A93048" w:rsidP="00DB73A2">
      <w:pPr>
        <w:numPr>
          <w:ilvl w:val="0"/>
          <w:numId w:val="43"/>
        </w:numPr>
        <w:suppressAutoHyphens/>
        <w:spacing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Okres gwarancji na zamontowany sprzęt i urządzenia –  20 %, (20,00 pkt)</w:t>
      </w:r>
    </w:p>
    <w:p w14:paraId="5B5BEC39" w14:textId="77777777" w:rsidR="00A93048" w:rsidRPr="00A93048" w:rsidRDefault="00A93048" w:rsidP="00A93048">
      <w:pPr>
        <w:suppressAutoHyphens/>
        <w:spacing w:before="120" w:after="0" w:line="240" w:lineRule="auto"/>
        <w:ind w:left="284" w:right="5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Sposób obliczania punktów dla poszczególnych kryteriów: </w:t>
      </w:r>
    </w:p>
    <w:p w14:paraId="7082256A" w14:textId="77777777" w:rsidR="00A93048" w:rsidRPr="00A93048" w:rsidRDefault="00A93048" w:rsidP="00DB73A2">
      <w:pPr>
        <w:numPr>
          <w:ilvl w:val="0"/>
          <w:numId w:val="42"/>
        </w:numPr>
        <w:suppressAutoHyphens/>
        <w:spacing w:before="120"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FF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Punkty w kryterium </w:t>
      </w:r>
      <w:r w:rsidRPr="00A93048">
        <w:rPr>
          <w:rFonts w:ascii="Arial" w:eastAsia="Arial" w:hAnsi="Arial" w:cs="Arial"/>
          <w:b/>
          <w:color w:val="000000"/>
          <w:kern w:val="1"/>
          <w:sz w:val="18"/>
          <w:szCs w:val="18"/>
          <w:lang w:eastAsia="zh-CN" w:bidi="hi-IN"/>
        </w:rPr>
        <w:t xml:space="preserve">cena oferty brutto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wyliczone będą z dokładnością do dwóch miejsc po przecinku, wg poniższego wzoru:</w:t>
      </w:r>
    </w:p>
    <w:p w14:paraId="4BE24420" w14:textId="77777777" w:rsidR="00A93048" w:rsidRPr="00A93048" w:rsidRDefault="00A93048" w:rsidP="00A93048">
      <w:pPr>
        <w:suppressAutoHyphens/>
        <w:spacing w:after="120" w:line="240" w:lineRule="auto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             C = (Cmin : Cx) x 100 x 80%  </w:t>
      </w:r>
    </w:p>
    <w:p w14:paraId="425C59C4" w14:textId="77777777" w:rsidR="00A93048" w:rsidRPr="00A93048" w:rsidRDefault="00A93048" w:rsidP="00A93048">
      <w:pPr>
        <w:suppressAutoHyphens/>
        <w:spacing w:after="120" w:line="240" w:lineRule="auto"/>
        <w:ind w:left="5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            gdzie:</w:t>
      </w:r>
    </w:p>
    <w:p w14:paraId="6BEC7B62" w14:textId="77777777" w:rsidR="00A93048" w:rsidRPr="00A93048" w:rsidRDefault="00A93048" w:rsidP="00A93048">
      <w:pPr>
        <w:suppressAutoHyphens/>
        <w:spacing w:after="0" w:line="240" w:lineRule="auto"/>
        <w:ind w:left="1146" w:hanging="43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C - wskaźnik kryterium ceny oferty brutto w punktach</w:t>
      </w:r>
    </w:p>
    <w:p w14:paraId="6A464DDE" w14:textId="77777777" w:rsidR="00A93048" w:rsidRPr="00A93048" w:rsidRDefault="00A93048" w:rsidP="00A93048">
      <w:pPr>
        <w:suppressAutoHyphens/>
        <w:spacing w:after="0" w:line="240" w:lineRule="auto"/>
        <w:ind w:left="1146" w:hanging="43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Cmin - najniższa cena oferty brutto w PLN spośród ofert niepodlegających odrzuceniu</w:t>
      </w:r>
    </w:p>
    <w:p w14:paraId="262633D0" w14:textId="77777777" w:rsidR="00A93048" w:rsidRPr="00A93048" w:rsidRDefault="00A93048" w:rsidP="00A93048">
      <w:pPr>
        <w:suppressAutoHyphens/>
        <w:spacing w:after="0" w:line="240" w:lineRule="auto"/>
        <w:ind w:left="1146" w:hanging="437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Cx - cena brutto w PLN badanej oferty </w:t>
      </w:r>
    </w:p>
    <w:p w14:paraId="229E7733" w14:textId="77777777" w:rsidR="00A93048" w:rsidRPr="00A93048" w:rsidRDefault="00A93048" w:rsidP="00DB73A2">
      <w:pPr>
        <w:numPr>
          <w:ilvl w:val="0"/>
          <w:numId w:val="42"/>
        </w:numPr>
        <w:suppressAutoHyphens/>
        <w:spacing w:before="120" w:after="0" w:line="240" w:lineRule="auto"/>
        <w:ind w:left="709" w:right="57" w:hanging="425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Punkty w kryterium </w:t>
      </w:r>
      <w:r w:rsidRPr="00A93048">
        <w:rPr>
          <w:rFonts w:ascii="Arial" w:eastAsia="Arial" w:hAnsi="Arial" w:cs="Arial"/>
          <w:b/>
          <w:color w:val="000000"/>
          <w:kern w:val="1"/>
          <w:sz w:val="18"/>
          <w:szCs w:val="18"/>
          <w:lang w:eastAsia="zh-CN" w:bidi="hi-IN"/>
        </w:rPr>
        <w:t xml:space="preserve">okres gwarancji </w:t>
      </w:r>
      <w:r w:rsidRPr="00A93048">
        <w:rPr>
          <w:rFonts w:ascii="Arial" w:eastAsia="Arial" w:hAnsi="Arial" w:cs="Arial"/>
          <w:b/>
          <w:bCs/>
          <w:color w:val="000000"/>
          <w:kern w:val="1"/>
          <w:sz w:val="18"/>
          <w:szCs w:val="18"/>
          <w:lang w:eastAsia="zh-CN" w:bidi="hi-IN"/>
        </w:rPr>
        <w:t xml:space="preserve">na urządzenie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zostaną</w:t>
      </w:r>
      <w:r w:rsidRPr="00A93048">
        <w:rPr>
          <w:rFonts w:ascii="Arial" w:eastAsia="Arial" w:hAnsi="Arial" w:cs="Arial"/>
          <w:b/>
          <w:bCs/>
          <w:color w:val="000000"/>
          <w:kern w:val="1"/>
          <w:sz w:val="18"/>
          <w:szCs w:val="18"/>
          <w:lang w:eastAsia="zh-CN" w:bidi="hi-IN"/>
        </w:rPr>
        <w:t xml:space="preserve">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przyznane wg następujących zasad:</w:t>
      </w:r>
    </w:p>
    <w:p w14:paraId="344FA1B1" w14:textId="364FD19D" w:rsidR="00A93048" w:rsidRPr="00A93048" w:rsidRDefault="00A93048" w:rsidP="00DB73A2">
      <w:pPr>
        <w:numPr>
          <w:ilvl w:val="0"/>
          <w:numId w:val="39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bookmarkStart w:id="31" w:name="_Hlk81305818"/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minimalny wymagany okres gwarancji wynosi 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u w:val="single"/>
          <w:lang w:eastAsia="zh-CN" w:bidi="hi-IN"/>
        </w:rPr>
        <w:t>24 miesi</w:t>
      </w:r>
      <w:r w:rsidR="00A7431A" w:rsidRPr="00832C7A">
        <w:rPr>
          <w:rFonts w:ascii="Arial" w:eastAsia="Arial" w:hAnsi="Arial" w:cs="Arial"/>
          <w:color w:val="000000"/>
          <w:kern w:val="1"/>
          <w:sz w:val="18"/>
          <w:szCs w:val="18"/>
          <w:u w:val="single"/>
          <w:lang w:eastAsia="zh-CN" w:bidi="hi-IN"/>
        </w:rPr>
        <w:t>ą</w:t>
      </w:r>
      <w:r w:rsidRPr="00A93048">
        <w:rPr>
          <w:rFonts w:ascii="Arial" w:eastAsia="Arial" w:hAnsi="Arial" w:cs="Arial"/>
          <w:color w:val="000000"/>
          <w:kern w:val="1"/>
          <w:sz w:val="18"/>
          <w:szCs w:val="18"/>
          <w:u w:val="single"/>
          <w:lang w:eastAsia="zh-CN" w:bidi="hi-IN"/>
        </w:rPr>
        <w:t>ce,</w:t>
      </w:r>
    </w:p>
    <w:p w14:paraId="6DFAC5AF" w14:textId="77777777" w:rsidR="00A93048" w:rsidRPr="00A93048" w:rsidRDefault="00A93048" w:rsidP="00DB73A2">
      <w:pPr>
        <w:numPr>
          <w:ilvl w:val="0"/>
          <w:numId w:val="39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maksymalny oczekiwany okres gwarancji wynosi 48 miesięcy.</w:t>
      </w:r>
    </w:p>
    <w:p w14:paraId="487EC83B" w14:textId="77777777" w:rsidR="00A93048" w:rsidRPr="00A93048" w:rsidRDefault="00A93048" w:rsidP="00DB73A2">
      <w:pPr>
        <w:numPr>
          <w:ilvl w:val="0"/>
          <w:numId w:val="38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w przypadku zaoferowania okresu gwarancji powyżej 48 miesięcy oferta otrzyma liczbę punktów za maksymalnie 48 miesięcy gwarancji. </w:t>
      </w:r>
    </w:p>
    <w:p w14:paraId="42D44A70" w14:textId="77777777" w:rsidR="00A93048" w:rsidRPr="00A93048" w:rsidRDefault="00A93048" w:rsidP="00DB73A2">
      <w:pPr>
        <w:numPr>
          <w:ilvl w:val="0"/>
          <w:numId w:val="38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oferowane okresy gwarancji muszą być w cyklach 6 miesięcznych tj. 30, 36 i 42, 48 miesięcy. </w:t>
      </w:r>
    </w:p>
    <w:p w14:paraId="65387DB5" w14:textId="77777777" w:rsidR="00A93048" w:rsidRPr="00A93048" w:rsidRDefault="00A93048" w:rsidP="00DB73A2">
      <w:pPr>
        <w:numPr>
          <w:ilvl w:val="0"/>
          <w:numId w:val="38"/>
        </w:numPr>
        <w:suppressAutoHyphens/>
        <w:spacing w:after="0" w:line="240" w:lineRule="auto"/>
        <w:ind w:left="993" w:right="57" w:hanging="28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punktacja przyznawana będzie w następujący sposób:</w:t>
      </w:r>
    </w:p>
    <w:p w14:paraId="433B6C7C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24 miesięcy oferta otrzyma – 0 pkt,</w:t>
      </w:r>
    </w:p>
    <w:p w14:paraId="59BDA1D1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bookmarkStart w:id="32" w:name="_Hlk81980857"/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30 miesięcy oferta otrzyma –  5 pkt,</w:t>
      </w:r>
    </w:p>
    <w:p w14:paraId="5AF5C7C9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36 miesięcy oferta otrzyma – 10 pkt.</w:t>
      </w:r>
    </w:p>
    <w:bookmarkEnd w:id="32"/>
    <w:p w14:paraId="21FE4356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42 miesięcy oferta otrzyma – 15 pkt,</w:t>
      </w:r>
    </w:p>
    <w:p w14:paraId="326A0180" w14:textId="77777777" w:rsidR="00A93048" w:rsidRPr="00A93048" w:rsidRDefault="00A93048" w:rsidP="00DB73A2">
      <w:pPr>
        <w:numPr>
          <w:ilvl w:val="0"/>
          <w:numId w:val="40"/>
        </w:numPr>
        <w:suppressAutoHyphens/>
        <w:spacing w:after="0" w:line="240" w:lineRule="auto"/>
        <w:ind w:right="57" w:hanging="294"/>
        <w:jc w:val="both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w przypadku zaoferowania okresu gwarancji 48 miesięcy oferta otrzyma –  20 pkt.</w:t>
      </w:r>
    </w:p>
    <w:p w14:paraId="27C85B60" w14:textId="77777777" w:rsidR="00A93048" w:rsidRPr="00A93048" w:rsidRDefault="00A93048" w:rsidP="00DB73A2">
      <w:pPr>
        <w:numPr>
          <w:ilvl w:val="0"/>
          <w:numId w:val="41"/>
        </w:numPr>
        <w:tabs>
          <w:tab w:val="left" w:pos="266"/>
        </w:tabs>
        <w:suppressAutoHyphens/>
        <w:spacing w:after="0" w:line="240" w:lineRule="auto"/>
        <w:ind w:left="993" w:right="57" w:hanging="284"/>
        <w:contextualSpacing/>
        <w:jc w:val="both"/>
        <w:textAlignment w:val="baseline"/>
        <w:rPr>
          <w:rFonts w:ascii="Arial" w:eastAsia="Arial" w:hAnsi="Arial" w:cs="Arial"/>
          <w:b/>
          <w:color w:val="000000"/>
          <w:kern w:val="1"/>
          <w:sz w:val="18"/>
          <w:szCs w:val="18"/>
          <w:lang w:eastAsia="zh-CN" w:bidi="hi-IN"/>
        </w:rPr>
      </w:pPr>
      <w:r w:rsidRPr="00A93048">
        <w:rPr>
          <w:rFonts w:ascii="Arial" w:eastAsia="Arial" w:hAnsi="Arial" w:cs="Arial"/>
          <w:bCs/>
          <w:kern w:val="1"/>
          <w:sz w:val="18"/>
          <w:szCs w:val="18"/>
          <w:lang w:eastAsia="zh-CN" w:bidi="hi-IN"/>
        </w:rPr>
        <w:t xml:space="preserve">w przypadku zaoferowania okresu gwarancji </w:t>
      </w:r>
      <w:r w:rsidRPr="00A93048">
        <w:rPr>
          <w:rFonts w:ascii="Arial" w:eastAsia="Arial" w:hAnsi="Arial" w:cs="Arial"/>
          <w:b/>
          <w:bCs/>
          <w:kern w:val="1"/>
          <w:sz w:val="18"/>
          <w:szCs w:val="18"/>
          <w:lang w:eastAsia="zh-CN" w:bidi="hi-IN"/>
        </w:rPr>
        <w:t>krótszego niż 24 miesięcy,</w:t>
      </w:r>
      <w:r w:rsidRPr="00A93048">
        <w:rPr>
          <w:rFonts w:ascii="Arial" w:eastAsia="Arial" w:hAnsi="Arial" w:cs="Arial"/>
          <w:bCs/>
          <w:kern w:val="1"/>
          <w:sz w:val="18"/>
          <w:szCs w:val="18"/>
          <w:lang w:eastAsia="zh-CN" w:bidi="hi-IN"/>
        </w:rPr>
        <w:t xml:space="preserve"> Zamawiający odrzuci ofertę na podstawie art. 226 ust. 1 pkt 5 Ustawy „Zamawiający odrzuci ofertę, jeżeli jej treść jest niezgodna z warunkami zamówienia”.</w:t>
      </w:r>
    </w:p>
    <w:bookmarkEnd w:id="31"/>
    <w:p w14:paraId="009F55BA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 sytuacji, gdy Zamawiający nie będzie mógł dokonać wyboru najkorzystniejszej oferty ze względu na to, że zostały złożone oferty o takiej samej cenie, wezwie on Wykonawców, którzy złożyli te oferty, do złożenia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DB73A2">
      <w:pPr>
        <w:numPr>
          <w:ilvl w:val="0"/>
          <w:numId w:val="26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DB73A2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DB73A2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DB73A2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DB73A2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DB73A2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p w14:paraId="4C0633D3" w14:textId="77777777" w:rsidR="00C8737F" w:rsidRPr="00C8737F" w:rsidRDefault="00C8737F" w:rsidP="00C8737F">
      <w:pPr>
        <w:tabs>
          <w:tab w:val="center" w:pos="426"/>
        </w:tabs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bookmarkEnd w:id="8"/>
    <w:bookmarkEnd w:id="13"/>
    <w:bookmarkEnd w:id="14"/>
    <w:p w14:paraId="24FF07CF" w14:textId="77777777" w:rsidR="00C8737F" w:rsidRPr="00C8737F" w:rsidRDefault="00C8737F" w:rsidP="00C8737F">
      <w:pPr>
        <w:tabs>
          <w:tab w:val="center" w:pos="426"/>
        </w:tabs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05B82D" w14:textId="77777777" w:rsidR="005D60EB" w:rsidRDefault="005D60EB"/>
    <w:sectPr w:rsidR="005D60EB" w:rsidSect="00194A38">
      <w:footerReference w:type="even" r:id="rId18"/>
      <w:footerReference w:type="defaul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47F0C" w14:textId="77777777" w:rsidR="00245DAC" w:rsidRDefault="00245DAC">
      <w:pPr>
        <w:spacing w:after="0" w:line="240" w:lineRule="auto"/>
      </w:pPr>
      <w:r>
        <w:separator/>
      </w:r>
    </w:p>
  </w:endnote>
  <w:endnote w:type="continuationSeparator" w:id="0">
    <w:p w14:paraId="7D3A2739" w14:textId="77777777" w:rsidR="00245DAC" w:rsidRDefault="0024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245D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245DA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245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029F" w14:textId="77777777" w:rsidR="00245DAC" w:rsidRDefault="00245DAC">
      <w:pPr>
        <w:spacing w:after="0" w:line="240" w:lineRule="auto"/>
      </w:pPr>
      <w:r>
        <w:separator/>
      </w:r>
    </w:p>
  </w:footnote>
  <w:footnote w:type="continuationSeparator" w:id="0">
    <w:p w14:paraId="516E496E" w14:textId="77777777" w:rsidR="00245DAC" w:rsidRDefault="0024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382D07"/>
    <w:multiLevelType w:val="hybridMultilevel"/>
    <w:tmpl w:val="24B21634"/>
    <w:lvl w:ilvl="0" w:tplc="1EE217D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941B41"/>
    <w:multiLevelType w:val="hybridMultilevel"/>
    <w:tmpl w:val="ABA66E5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98050E"/>
    <w:multiLevelType w:val="hybridMultilevel"/>
    <w:tmpl w:val="8F7E4C1A"/>
    <w:lvl w:ilvl="0" w:tplc="C97AEF78">
      <w:start w:val="1"/>
      <w:numFmt w:val="decimal"/>
      <w:lvlText w:val="4.%1."/>
      <w:lvlJc w:val="left"/>
      <w:pPr>
        <w:ind w:left="236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6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7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4A06E16"/>
    <w:multiLevelType w:val="hybridMultilevel"/>
    <w:tmpl w:val="335E2616"/>
    <w:lvl w:ilvl="0" w:tplc="1EE217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6C7C2FC0"/>
    <w:multiLevelType w:val="hybridMultilevel"/>
    <w:tmpl w:val="423C88EE"/>
    <w:lvl w:ilvl="0" w:tplc="1EE217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4" w15:restartNumberingAfterBreak="0">
    <w:nsid w:val="7E97311D"/>
    <w:multiLevelType w:val="hybridMultilevel"/>
    <w:tmpl w:val="6600981A"/>
    <w:lvl w:ilvl="0" w:tplc="8EB659E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39"/>
  </w:num>
  <w:num w:numId="8">
    <w:abstractNumId w:val="24"/>
  </w:num>
  <w:num w:numId="9">
    <w:abstractNumId w:val="40"/>
  </w:num>
  <w:num w:numId="10">
    <w:abstractNumId w:val="22"/>
  </w:num>
  <w:num w:numId="11">
    <w:abstractNumId w:val="37"/>
  </w:num>
  <w:num w:numId="12">
    <w:abstractNumId w:val="30"/>
  </w:num>
  <w:num w:numId="13">
    <w:abstractNumId w:val="14"/>
  </w:num>
  <w:num w:numId="14">
    <w:abstractNumId w:val="28"/>
  </w:num>
  <w:num w:numId="15">
    <w:abstractNumId w:val="16"/>
  </w:num>
  <w:num w:numId="16">
    <w:abstractNumId w:val="25"/>
  </w:num>
  <w:num w:numId="17">
    <w:abstractNumId w:val="7"/>
  </w:num>
  <w:num w:numId="18">
    <w:abstractNumId w:val="6"/>
  </w:num>
  <w:num w:numId="19">
    <w:abstractNumId w:val="36"/>
  </w:num>
  <w:num w:numId="20">
    <w:abstractNumId w:val="35"/>
  </w:num>
  <w:num w:numId="21">
    <w:abstractNumId w:val="42"/>
  </w:num>
  <w:num w:numId="22">
    <w:abstractNumId w:val="15"/>
  </w:num>
  <w:num w:numId="23">
    <w:abstractNumId w:val="33"/>
  </w:num>
  <w:num w:numId="24">
    <w:abstractNumId w:val="27"/>
  </w:num>
  <w:num w:numId="25">
    <w:abstractNumId w:val="11"/>
  </w:num>
  <w:num w:numId="26">
    <w:abstractNumId w:val="8"/>
  </w:num>
  <w:num w:numId="27">
    <w:abstractNumId w:val="43"/>
  </w:num>
  <w:num w:numId="28">
    <w:abstractNumId w:val="26"/>
  </w:num>
  <w:num w:numId="29">
    <w:abstractNumId w:val="20"/>
  </w:num>
  <w:num w:numId="3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9"/>
  </w:num>
  <w:num w:numId="32">
    <w:abstractNumId w:val="12"/>
  </w:num>
  <w:num w:numId="33">
    <w:abstractNumId w:val="17"/>
  </w:num>
  <w:num w:numId="34">
    <w:abstractNumId w:val="18"/>
  </w:num>
  <w:num w:numId="35">
    <w:abstractNumId w:val="34"/>
  </w:num>
  <w:num w:numId="36">
    <w:abstractNumId w:val="32"/>
  </w:num>
  <w:num w:numId="37">
    <w:abstractNumId w:val="38"/>
  </w:num>
  <w:num w:numId="38">
    <w:abstractNumId w:val="31"/>
  </w:num>
  <w:num w:numId="39">
    <w:abstractNumId w:val="41"/>
  </w:num>
  <w:num w:numId="40">
    <w:abstractNumId w:val="19"/>
  </w:num>
  <w:num w:numId="41">
    <w:abstractNumId w:val="13"/>
  </w:num>
  <w:num w:numId="42">
    <w:abstractNumId w:val="44"/>
  </w:num>
  <w:num w:numId="43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A48DB"/>
    <w:rsid w:val="00187E17"/>
    <w:rsid w:val="001B7866"/>
    <w:rsid w:val="00202E63"/>
    <w:rsid w:val="00232500"/>
    <w:rsid w:val="00240453"/>
    <w:rsid w:val="00245DAC"/>
    <w:rsid w:val="002A6474"/>
    <w:rsid w:val="003523B4"/>
    <w:rsid w:val="003C3820"/>
    <w:rsid w:val="003C415C"/>
    <w:rsid w:val="00413042"/>
    <w:rsid w:val="004B46DB"/>
    <w:rsid w:val="00590C72"/>
    <w:rsid w:val="005D60EB"/>
    <w:rsid w:val="00602BA8"/>
    <w:rsid w:val="00627E44"/>
    <w:rsid w:val="00677D48"/>
    <w:rsid w:val="00776A21"/>
    <w:rsid w:val="007D2CD2"/>
    <w:rsid w:val="007E09AC"/>
    <w:rsid w:val="008169F8"/>
    <w:rsid w:val="0082137B"/>
    <w:rsid w:val="00832C7A"/>
    <w:rsid w:val="009458B7"/>
    <w:rsid w:val="009500C1"/>
    <w:rsid w:val="00990F36"/>
    <w:rsid w:val="00A7431A"/>
    <w:rsid w:val="00A93048"/>
    <w:rsid w:val="00AA0891"/>
    <w:rsid w:val="00AA2DEB"/>
    <w:rsid w:val="00B23BB7"/>
    <w:rsid w:val="00B94A4E"/>
    <w:rsid w:val="00BF27E4"/>
    <w:rsid w:val="00C15850"/>
    <w:rsid w:val="00C6451F"/>
    <w:rsid w:val="00C73F1A"/>
    <w:rsid w:val="00C8737F"/>
    <w:rsid w:val="00D828C3"/>
    <w:rsid w:val="00DB4AB5"/>
    <w:rsid w:val="00DB73A2"/>
    <w:rsid w:val="00E31BE6"/>
    <w:rsid w:val="00EB05FE"/>
    <w:rsid w:val="00ED131C"/>
    <w:rsid w:val="00F15CEB"/>
    <w:rsid w:val="00F755CB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3@szpitalciechanow.com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mailto:zp3@szpitalciechanow.com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m.kiszkurno@szpitalciechanow.com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4548</Words>
  <Characters>27292</Characters>
  <Application>Microsoft Office Word</Application>
  <DocSecurity>0</DocSecurity>
  <Lines>227</Lines>
  <Paragraphs>63</Paragraphs>
  <ScaleCrop>false</ScaleCrop>
  <Company/>
  <LinksUpToDate>false</LinksUpToDate>
  <CharactersWithSpaces>31777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39</cp:revision>
  <cp:lastPrinted>2021-06-01T07:52:00Z</cp:lastPrinted>
  <dcterms:created xsi:type="dcterms:W3CDTF">2021-06-01T07:43:00Z</dcterms:created>
  <dcterms:modified xsi:type="dcterms:W3CDTF">2021-09-15T09:21:00Z</dcterms:modified>
</cp:coreProperties>
</file>