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7F233682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AE63D7">
        <w:rPr>
          <w:b/>
          <w:noProof/>
        </w:rPr>
        <w:t>1</w:t>
      </w:r>
      <w:r w:rsidR="007469CF">
        <w:rPr>
          <w:b/>
          <w:noProof/>
        </w:rPr>
        <w:t>17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7F1F9F">
      <w:pPr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794BEA2C" w14:textId="1BED466C" w:rsidR="00A450A2" w:rsidRDefault="000D7A00" w:rsidP="00A105FE">
      <w:pPr>
        <w:tabs>
          <w:tab w:val="left" w:pos="600"/>
          <w:tab w:val="center" w:pos="4736"/>
        </w:tabs>
        <w:rPr>
          <w:b/>
          <w:noProof/>
          <w:sz w:val="22"/>
          <w:szCs w:val="22"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</w:t>
      </w:r>
      <w:r w:rsidR="007469CF">
        <w:rPr>
          <w:b/>
        </w:rPr>
        <w:t>Dostawa Mięsa i wędlin</w:t>
      </w:r>
    </w:p>
    <w:p w14:paraId="6C22E619" w14:textId="77777777" w:rsidR="00AE63D7" w:rsidRPr="008B333B" w:rsidRDefault="00AE63D7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0A79CAC6" w14:textId="7E04857D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9F5034">
        <w:rPr>
          <w:bCs/>
          <w:noProof/>
        </w:rPr>
        <w:t xml:space="preserve"> </w:t>
      </w:r>
      <w:r w:rsidR="009F5034">
        <w:t xml:space="preserve">Ogłoszenie </w:t>
      </w:r>
      <w:r w:rsidR="002430A7" w:rsidRPr="002430A7">
        <w:t>nr 2021/BZP 00262511 z dnia 2021-11-09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57262E5B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2430A7">
        <w:rPr>
          <w:b/>
          <w:bCs/>
          <w:i/>
          <w:iCs/>
          <w:noProof/>
        </w:rPr>
        <w:t xml:space="preserve"> 09</w:t>
      </w:r>
      <w:r w:rsidR="00AE63D7">
        <w:rPr>
          <w:b/>
          <w:bCs/>
          <w:i/>
          <w:iCs/>
          <w:noProof/>
        </w:rPr>
        <w:t xml:space="preserve"> </w:t>
      </w:r>
      <w:r w:rsidRPr="008B333B">
        <w:rPr>
          <w:b/>
          <w:bCs/>
          <w:i/>
          <w:iCs/>
          <w:noProof/>
        </w:rPr>
        <w:t>.</w:t>
      </w:r>
      <w:r w:rsidR="007469CF">
        <w:rPr>
          <w:b/>
          <w:bCs/>
          <w:i/>
          <w:iCs/>
          <w:noProof/>
        </w:rPr>
        <w:t>11</w:t>
      </w:r>
      <w:r w:rsidRPr="008B333B">
        <w:rPr>
          <w:b/>
          <w:bCs/>
          <w:i/>
          <w:iCs/>
          <w:noProof/>
        </w:rPr>
        <w:t>.2021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DCAACED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FBEA268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75F22227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79E0F0C1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4CF051C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4C575AE5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25A8DE5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FDE8E6E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6C967D7D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45F6455F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53485D7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712D9EF9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F73F259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6FF6E0D4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67B6562A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FBCF5A5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28558F8D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8330FF2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13E74DEF" w:rsidR="00206B1E" w:rsidRPr="008B333B" w:rsidRDefault="00581D4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0A1D19AA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/1</w:t>
      </w:r>
      <w:r w:rsidR="00C65648">
        <w:rPr>
          <w:b/>
          <w:noProof/>
        </w:rPr>
        <w:t>1</w:t>
      </w:r>
      <w:r w:rsidR="007469CF">
        <w:rPr>
          <w:b/>
          <w:noProof/>
        </w:rPr>
        <w:t>7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7B31C754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bookmarkEnd w:id="15"/>
      <w:r w:rsidR="007469CF">
        <w:rPr>
          <w:b/>
          <w:noProof/>
        </w:rPr>
        <w:t>mięsa i wędlin</w:t>
      </w:r>
      <w:r w:rsidR="00C65648">
        <w:rPr>
          <w:b/>
          <w:noProof/>
        </w:rPr>
        <w:t>.</w:t>
      </w:r>
      <w:r w:rsidR="00732730" w:rsidRPr="008B333B">
        <w:rPr>
          <w:b/>
          <w:noProof/>
          <w:sz w:val="22"/>
          <w:szCs w:val="22"/>
        </w:rPr>
        <w:t xml:space="preserve"> 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13A231C4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7469CF" w:rsidRPr="007469CF" w14:paraId="3CBFAAC0" w14:textId="77777777" w:rsidTr="0010190B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15B78D" w14:textId="77777777" w:rsidR="007469CF" w:rsidRPr="0010190B" w:rsidRDefault="007469CF" w:rsidP="007469CF">
            <w:pPr>
              <w:suppressAutoHyphens/>
              <w:ind w:left="0" w:right="50"/>
              <w:jc w:val="both"/>
            </w:pPr>
            <w:r w:rsidRPr="0010190B">
              <w:rPr>
                <w:b/>
              </w:rPr>
              <w:t xml:space="preserve"> </w:t>
            </w:r>
            <w:r w:rsidRPr="0010190B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2F7C48" w14:textId="77777777" w:rsidR="007469CF" w:rsidRPr="0010190B" w:rsidRDefault="007469CF" w:rsidP="007469CF">
            <w:pPr>
              <w:suppressAutoHyphens/>
              <w:ind w:left="0" w:right="50"/>
              <w:jc w:val="both"/>
            </w:pPr>
            <w:r w:rsidRPr="0010190B">
              <w:t>Opis:</w:t>
            </w:r>
          </w:p>
        </w:tc>
      </w:tr>
      <w:tr w:rsidR="007469CF" w:rsidRPr="007469CF" w14:paraId="63B9F563" w14:textId="77777777" w:rsidTr="0010190B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45D" w14:textId="77777777" w:rsidR="007469CF" w:rsidRPr="0010190B" w:rsidRDefault="007469CF" w:rsidP="007469CF">
            <w:pPr>
              <w:ind w:left="0" w:right="0"/>
            </w:pPr>
            <w:r w:rsidRPr="0010190B">
              <w:t>15113000-3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ABE" w14:textId="77777777" w:rsidR="007469CF" w:rsidRPr="0010190B" w:rsidRDefault="007469CF" w:rsidP="007469CF">
            <w:pPr>
              <w:ind w:left="0" w:right="0"/>
            </w:pPr>
            <w:r w:rsidRPr="0010190B">
              <w:t>wieprzowina</w:t>
            </w:r>
          </w:p>
        </w:tc>
      </w:tr>
      <w:tr w:rsidR="007469CF" w:rsidRPr="007469CF" w14:paraId="5558DD56" w14:textId="77777777" w:rsidTr="0010190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30D" w14:textId="77777777" w:rsidR="007469CF" w:rsidRPr="0010190B" w:rsidRDefault="007469CF" w:rsidP="007469CF">
            <w:pPr>
              <w:ind w:left="0" w:right="0"/>
            </w:pPr>
            <w:r w:rsidRPr="0010190B">
              <w:t>15111000-9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CA0" w14:textId="77777777" w:rsidR="007469CF" w:rsidRPr="0010190B" w:rsidRDefault="007469CF" w:rsidP="007469CF">
            <w:pPr>
              <w:ind w:left="0" w:right="0"/>
            </w:pPr>
            <w:r w:rsidRPr="0010190B">
              <w:t>mięso wołowe</w:t>
            </w:r>
          </w:p>
        </w:tc>
      </w:tr>
      <w:tr w:rsidR="007469CF" w:rsidRPr="007469CF" w14:paraId="1E982CCD" w14:textId="77777777" w:rsidTr="0010190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05C8" w14:textId="77777777" w:rsidR="007469CF" w:rsidRPr="0010190B" w:rsidRDefault="007469CF" w:rsidP="007469CF">
            <w:pPr>
              <w:ind w:left="0" w:right="0"/>
            </w:pPr>
            <w:r w:rsidRPr="0010190B">
              <w:t>15131100-6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5D1" w14:textId="77777777" w:rsidR="007469CF" w:rsidRPr="0010190B" w:rsidRDefault="007469CF" w:rsidP="007469CF">
            <w:pPr>
              <w:ind w:left="0" w:right="0"/>
            </w:pPr>
            <w:r w:rsidRPr="0010190B">
              <w:t>produkty mięsno-wędliniarskie</w:t>
            </w:r>
          </w:p>
        </w:tc>
      </w:tr>
    </w:tbl>
    <w:p w14:paraId="14DCD710" w14:textId="33CFED01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tbl>
      <w:tblPr>
        <w:tblW w:w="4555" w:type="dxa"/>
        <w:tblInd w:w="392" w:type="dxa"/>
        <w:tblLook w:val="01E0" w:firstRow="1" w:lastRow="1" w:firstColumn="1" w:lastColumn="1" w:noHBand="0" w:noVBand="0"/>
      </w:tblPr>
      <w:tblGrid>
        <w:gridCol w:w="1417"/>
        <w:gridCol w:w="3138"/>
      </w:tblGrid>
      <w:tr w:rsidR="007469CF" w:rsidRPr="007469CF" w14:paraId="6E3FE4F8" w14:textId="77777777" w:rsidTr="0010190B">
        <w:trPr>
          <w:trHeight w:hRule="exact" w:val="279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8AA52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Pakiet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AE494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Przedmiot zamówienia</w:t>
            </w:r>
          </w:p>
        </w:tc>
      </w:tr>
      <w:tr w:rsidR="007469CF" w:rsidRPr="007469CF" w14:paraId="4204A6D8" w14:textId="77777777" w:rsidTr="0010190B">
        <w:trPr>
          <w:trHeight w:hRule="exact" w:val="340"/>
        </w:trPr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FEAD1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1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201CFB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 xml:space="preserve">Mięso </w:t>
            </w:r>
          </w:p>
        </w:tc>
      </w:tr>
      <w:tr w:rsidR="007469CF" w:rsidRPr="007469CF" w14:paraId="0DC71510" w14:textId="77777777" w:rsidTr="0010190B">
        <w:trPr>
          <w:trHeight w:hRule="exact"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18841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551302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Wędliny</w:t>
            </w:r>
          </w:p>
        </w:tc>
      </w:tr>
    </w:tbl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6" w:name="_Hlk82600977"/>
      <w:r w:rsidRPr="008B333B">
        <w:rPr>
          <w:noProof/>
        </w:rPr>
        <w:t xml:space="preserve">nie dopuszcza </w:t>
      </w:r>
      <w:bookmarkEnd w:id="16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lastRenderedPageBreak/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t>XI. Termin związania ofertą</w:t>
      </w:r>
      <w:bookmarkEnd w:id="23"/>
    </w:p>
    <w:p w14:paraId="61658D64" w14:textId="5190CE71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BC4D67">
        <w:rPr>
          <w:noProof/>
          <w:highlight w:val="yellow"/>
          <w:lang w:bidi="pl-PL"/>
        </w:rPr>
        <w:t xml:space="preserve"> </w:t>
      </w:r>
      <w:r w:rsidR="002430A7">
        <w:rPr>
          <w:noProof/>
          <w:highlight w:val="yellow"/>
          <w:lang w:bidi="pl-PL"/>
        </w:rPr>
        <w:t>09</w:t>
      </w:r>
      <w:r w:rsidR="001E06F7">
        <w:rPr>
          <w:noProof/>
          <w:highlight w:val="yellow"/>
          <w:lang w:bidi="pl-PL"/>
        </w:rPr>
        <w:t>.</w:t>
      </w:r>
      <w:r w:rsidR="00511012" w:rsidRPr="008B333B">
        <w:rPr>
          <w:noProof/>
          <w:highlight w:val="yellow"/>
          <w:lang w:bidi="pl-PL"/>
        </w:rPr>
        <w:t>1</w:t>
      </w:r>
      <w:r w:rsidR="006F0437">
        <w:rPr>
          <w:noProof/>
          <w:highlight w:val="yellow"/>
          <w:lang w:bidi="pl-PL"/>
        </w:rPr>
        <w:t>2</w:t>
      </w:r>
      <w:r w:rsidR="00AE3792" w:rsidRPr="008B333B">
        <w:rPr>
          <w:noProof/>
          <w:highlight w:val="yellow"/>
          <w:lang w:bidi="pl-PL"/>
        </w:rPr>
        <w:t>.</w:t>
      </w:r>
      <w:r w:rsidR="00175E0D" w:rsidRPr="008B333B">
        <w:rPr>
          <w:noProof/>
          <w:highlight w:val="yellow"/>
          <w:lang w:bidi="pl-PL"/>
        </w:rPr>
        <w:t>2021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lastRenderedPageBreak/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4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5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6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6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>oświadczenie organu upoważnionego do urzędowej kontroli żywności lub firmy upoważnionej do przeprowadzenia certyfikacji – stwierdzający, że w produkcji i w obrocie wymienionego w siwz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1ED4D65C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Katalogi, zdjęcia, foldery, adresy stron internetowych itp. dotyczących przedmiotu oferty,</w:t>
      </w:r>
    </w:p>
    <w:p w14:paraId="1B819900" w14:textId="05BE9BBB" w:rsidR="00632525" w:rsidRPr="00E2531A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E2531A">
        <w:rPr>
          <w:bCs/>
          <w:noProof/>
          <w:lang w:bidi="pl-PL"/>
        </w:rPr>
        <w:t>Inne dokumenty, jeśli ich złożenia wraz z ofertą wymaga zamawiający w SWZ.</w:t>
      </w:r>
    </w:p>
    <w:p w14:paraId="7C690CD4" w14:textId="151A7444" w:rsidR="0069034F" w:rsidRPr="00E2531A" w:rsidRDefault="0069034F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E2531A">
        <w:rPr>
          <w:bCs/>
          <w:noProof/>
          <w:lang w:bidi="pl-PL"/>
        </w:rPr>
        <w:t>Pozostałe dokumenty wymienione w Załączniku nr 2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lastRenderedPageBreak/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2E5E0B03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545A42">
        <w:rPr>
          <w:b/>
          <w:bCs/>
          <w:noProof/>
          <w:highlight w:val="yellow"/>
          <w:lang w:bidi="pl-PL"/>
        </w:rPr>
        <w:t>19.</w:t>
      </w:r>
      <w:r w:rsidR="001D4CEA">
        <w:rPr>
          <w:b/>
          <w:bCs/>
          <w:noProof/>
          <w:highlight w:val="yellow"/>
          <w:lang w:bidi="pl-PL"/>
        </w:rPr>
        <w:t>1</w:t>
      </w:r>
      <w:r w:rsidR="006F0437">
        <w:rPr>
          <w:b/>
          <w:bCs/>
          <w:noProof/>
          <w:highlight w:val="yellow"/>
          <w:lang w:bidi="pl-PL"/>
        </w:rPr>
        <w:t>1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30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3DF5D9F9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r w:rsidR="00545A42">
        <w:rPr>
          <w:b/>
          <w:bCs/>
          <w:noProof/>
          <w:highlight w:val="yellow"/>
          <w:lang w:bidi="pl-PL"/>
        </w:rPr>
        <w:t>19.</w:t>
      </w:r>
      <w:r w:rsidR="001D4CEA">
        <w:rPr>
          <w:b/>
          <w:bCs/>
          <w:noProof/>
          <w:highlight w:val="yellow"/>
          <w:lang w:bidi="pl-PL"/>
        </w:rPr>
        <w:t>1</w:t>
      </w:r>
      <w:r w:rsidR="006F0437">
        <w:rPr>
          <w:b/>
          <w:bCs/>
          <w:noProof/>
          <w:highlight w:val="yellow"/>
          <w:lang w:bidi="pl-PL"/>
        </w:rPr>
        <w:t>1</w:t>
      </w:r>
      <w:r w:rsidR="000C19DF" w:rsidRPr="008B333B">
        <w:rPr>
          <w:b/>
          <w:bCs/>
          <w:noProof/>
          <w:highlight w:val="yellow"/>
          <w:lang w:bidi="pl-PL"/>
        </w:rPr>
        <w:t>.2021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lastRenderedPageBreak/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10190B">
      <w:pPr>
        <w:ind w:left="0"/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5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77777777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656"/>
      <w:r w:rsidRPr="00C17736">
        <w:rPr>
          <w:noProof/>
        </w:rPr>
        <w:t>cena                   – 80%</w:t>
      </w:r>
    </w:p>
    <w:p w14:paraId="78B1C80A" w14:textId="77777777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7" w:name="_Hlk529536930"/>
      <w:r w:rsidRPr="00C17736">
        <w:rPr>
          <w:noProof/>
        </w:rPr>
        <w:t>termin płatności  – 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8" w:name="_Hlk529536978"/>
      <w:bookmarkEnd w:id="37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80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58D5DEB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39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39"/>
    <w:p w14:paraId="57931BE5" w14:textId="79738BEA" w:rsidR="00F40EE0" w:rsidRPr="00501567" w:rsidRDefault="00C17736" w:rsidP="002F71FC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5"/>
      <w:bookmarkEnd w:id="36"/>
      <w:bookmarkEnd w:id="38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</w:t>
      </w:r>
      <w:r w:rsidRPr="008B333B">
        <w:rPr>
          <w:noProof/>
        </w:rPr>
        <w:lastRenderedPageBreak/>
        <w:t>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0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0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1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1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F2A8" w14:textId="77777777" w:rsidR="00581D42" w:rsidRDefault="00581D42" w:rsidP="004004A8">
      <w:r>
        <w:separator/>
      </w:r>
    </w:p>
  </w:endnote>
  <w:endnote w:type="continuationSeparator" w:id="0">
    <w:p w14:paraId="7DC41DD3" w14:textId="77777777" w:rsidR="00581D42" w:rsidRDefault="00581D42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9603" w14:textId="77777777" w:rsidR="00581D42" w:rsidRDefault="00581D42" w:rsidP="004004A8">
      <w:r>
        <w:separator/>
      </w:r>
    </w:p>
  </w:footnote>
  <w:footnote w:type="continuationSeparator" w:id="0">
    <w:p w14:paraId="30FF269D" w14:textId="77777777" w:rsidR="00581D42" w:rsidRDefault="00581D42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01207C5E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3"/>
  </w:num>
  <w:num w:numId="8">
    <w:abstractNumId w:val="111"/>
  </w:num>
  <w:num w:numId="9">
    <w:abstractNumId w:val="155"/>
  </w:num>
  <w:num w:numId="10">
    <w:abstractNumId w:val="106"/>
  </w:num>
  <w:num w:numId="11">
    <w:abstractNumId w:val="87"/>
  </w:num>
  <w:num w:numId="12">
    <w:abstractNumId w:val="147"/>
  </w:num>
  <w:num w:numId="13">
    <w:abstractNumId w:val="122"/>
  </w:num>
  <w:num w:numId="14">
    <w:abstractNumId w:val="99"/>
  </w:num>
  <w:num w:numId="15">
    <w:abstractNumId w:val="86"/>
  </w:num>
  <w:num w:numId="16">
    <w:abstractNumId w:val="119"/>
  </w:num>
  <w:num w:numId="17">
    <w:abstractNumId w:val="90"/>
  </w:num>
  <w:num w:numId="18">
    <w:abstractNumId w:val="113"/>
  </w:num>
  <w:num w:numId="19">
    <w:abstractNumId w:val="70"/>
  </w:num>
  <w:num w:numId="20">
    <w:abstractNumId w:val="69"/>
  </w:num>
  <w:num w:numId="21">
    <w:abstractNumId w:val="143"/>
  </w:num>
  <w:num w:numId="22">
    <w:abstractNumId w:val="126"/>
  </w:num>
  <w:num w:numId="23">
    <w:abstractNumId w:val="165"/>
  </w:num>
  <w:num w:numId="24">
    <w:abstractNumId w:val="88"/>
  </w:num>
  <w:num w:numId="25">
    <w:abstractNumId w:val="125"/>
  </w:num>
  <w:num w:numId="26">
    <w:abstractNumId w:val="115"/>
  </w:num>
  <w:num w:numId="27">
    <w:abstractNumId w:val="76"/>
  </w:num>
  <w:num w:numId="28">
    <w:abstractNumId w:val="108"/>
  </w:num>
  <w:num w:numId="29">
    <w:abstractNumId w:val="72"/>
  </w:num>
  <w:num w:numId="30">
    <w:abstractNumId w:val="169"/>
  </w:num>
  <w:num w:numId="31">
    <w:abstractNumId w:val="114"/>
  </w:num>
  <w:num w:numId="32">
    <w:abstractNumId w:val="96"/>
  </w:num>
  <w:num w:numId="33">
    <w:abstractNumId w:val="93"/>
  </w:num>
  <w:num w:numId="34">
    <w:abstractNumId w:val="78"/>
  </w:num>
  <w:num w:numId="35">
    <w:abstractNumId w:val="89"/>
  </w:num>
  <w:num w:numId="36">
    <w:abstractNumId w:val="173"/>
  </w:num>
  <w:num w:numId="37">
    <w:abstractNumId w:val="71"/>
  </w:num>
  <w:num w:numId="38">
    <w:abstractNumId w:val="102"/>
  </w:num>
  <w:num w:numId="39">
    <w:abstractNumId w:val="79"/>
  </w:num>
  <w:num w:numId="40">
    <w:abstractNumId w:val="146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3"/>
  </w:num>
  <w:num w:numId="43">
    <w:abstractNumId w:val="124"/>
  </w:num>
  <w:num w:numId="44">
    <w:abstractNumId w:val="142"/>
  </w:num>
  <w:num w:numId="45">
    <w:abstractNumId w:val="117"/>
  </w:num>
  <w:num w:numId="46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3261"/>
    <w:rsid w:val="0067657E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00A"/>
    <w:rsid w:val="00F8755A"/>
    <w:rsid w:val="00F87F5E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4602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32152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34</cp:revision>
  <cp:lastPrinted>2021-10-19T08:24:00Z</cp:lastPrinted>
  <dcterms:created xsi:type="dcterms:W3CDTF">2021-10-19T06:55:00Z</dcterms:created>
  <dcterms:modified xsi:type="dcterms:W3CDTF">2021-11-09T10:25:00Z</dcterms:modified>
</cp:coreProperties>
</file>