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6A9A458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B6762F" w:rsidRPr="00B6762F">
        <w:rPr>
          <w:b/>
          <w:bCs/>
          <w:color w:val="3C3C3C"/>
          <w:sz w:val="18"/>
        </w:rPr>
        <w:t>jałowych jednorazowych zestawów do iniekcji doszklistkowej.</w:t>
      </w:r>
      <w:r w:rsidR="00B6762F" w:rsidRPr="00B6762F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916C80">
        <w:rPr>
          <w:b/>
          <w:bCs/>
          <w:color w:val="3C3C3C"/>
          <w:sz w:val="18"/>
        </w:rPr>
        <w:t>21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B6762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B6762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10D" w14:textId="6EB027F0" w:rsidR="00B6762F" w:rsidRPr="0024683D" w:rsidRDefault="00B6762F" w:rsidP="00B6762F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>ałow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zestaw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 do iniekcji doszklistkowej.</w:t>
            </w:r>
          </w:p>
          <w:p w14:paraId="7EE3CE5A" w14:textId="38519FBB" w:rsidR="00063E6D" w:rsidRPr="004B7740" w:rsidRDefault="00063E6D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53</cp:revision>
  <dcterms:created xsi:type="dcterms:W3CDTF">2019-01-21T08:33:00Z</dcterms:created>
  <dcterms:modified xsi:type="dcterms:W3CDTF">2022-02-14T11:15:00Z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