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50836A45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593EBA">
        <w:rPr>
          <w:bCs/>
          <w:i/>
          <w:sz w:val="18"/>
          <w:szCs w:val="18"/>
        </w:rPr>
        <w:t>05.1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AE4B03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A373B5">
        <w:rPr>
          <w:b/>
          <w:bCs/>
          <w:i/>
          <w:sz w:val="18"/>
          <w:szCs w:val="18"/>
        </w:rPr>
        <w:t xml:space="preserve">Lek </w:t>
      </w:r>
      <w:r w:rsidR="00593EBA">
        <w:rPr>
          <w:b/>
          <w:bCs/>
          <w:i/>
          <w:sz w:val="18"/>
          <w:szCs w:val="18"/>
        </w:rPr>
        <w:t>dla Oddziału Zakaźnego.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3EBA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373B5"/>
    <w:rsid w:val="00A65608"/>
    <w:rsid w:val="00AE4B03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cp:lastPrinted>2021-02-03T07:34:00Z</cp:lastPrinted>
  <dcterms:created xsi:type="dcterms:W3CDTF">2021-02-08T08:51:00Z</dcterms:created>
  <dcterms:modified xsi:type="dcterms:W3CDTF">2022-02-16T11:04:00Z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