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5BA47EA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B12087">
        <w:rPr>
          <w:bCs/>
          <w:i/>
          <w:sz w:val="18"/>
          <w:szCs w:val="18"/>
        </w:rPr>
        <w:t>2</w:t>
      </w:r>
      <w:r w:rsidR="00090C8B">
        <w:rPr>
          <w:bCs/>
          <w:i/>
          <w:sz w:val="18"/>
          <w:szCs w:val="18"/>
        </w:rPr>
        <w:t>7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090C8B">
        <w:rPr>
          <w:b/>
          <w:bCs/>
          <w:i/>
          <w:sz w:val="18"/>
          <w:szCs w:val="18"/>
        </w:rPr>
        <w:t>Maski do wentylacji nieinwazyjnej.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cp:lastPrinted>2021-02-03T07:34:00Z</cp:lastPrinted>
  <dcterms:created xsi:type="dcterms:W3CDTF">2021-02-08T08:51:00Z</dcterms:created>
  <dcterms:modified xsi:type="dcterms:W3CDTF">2022-02-21T07:52:00Z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