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2EE9AA9D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Dostawę </w:t>
      </w:r>
      <w:r w:rsidR="001B7674">
        <w:rPr>
          <w:i/>
        </w:rPr>
        <w:t xml:space="preserve">staplerów </w:t>
      </w:r>
      <w:r w:rsidR="00E452BF" w:rsidRPr="005D23AA">
        <w:rPr>
          <w:i/>
        </w:rPr>
        <w:t>ZP/2501/</w:t>
      </w:r>
      <w:r w:rsidR="001B7674">
        <w:rPr>
          <w:i/>
        </w:rPr>
        <w:t>37</w:t>
      </w:r>
      <w:r w:rsidR="00E452BF" w:rsidRPr="005D23AA">
        <w:rPr>
          <w:i/>
        </w:rPr>
        <w:t>/2</w:t>
      </w:r>
      <w:r w:rsidR="005D23AA" w:rsidRPr="005D23AA">
        <w:rPr>
          <w:i/>
        </w:rPr>
        <w:t>2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7</cp:revision>
  <cp:lastPrinted>2021-02-03T07:34:00Z</cp:lastPrinted>
  <dcterms:created xsi:type="dcterms:W3CDTF">2021-06-25T09:45:00Z</dcterms:created>
  <dcterms:modified xsi:type="dcterms:W3CDTF">2022-03-09T09:17:00Z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