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556CCA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8B3156">
        <w:rPr>
          <w:rFonts w:ascii="Arial" w:eastAsia="Times New Roman" w:hAnsi="Arial" w:cs="Arial"/>
          <w:b/>
          <w:sz w:val="18"/>
          <w:szCs w:val="18"/>
          <w:lang w:eastAsia="pl-PL"/>
        </w:rPr>
        <w:t>58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C22E5B" w:rsidRDefault="00053508" w:rsidP="00CE4770">
      <w:pPr>
        <w:spacing w:before="2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</w:p>
    <w:bookmarkEnd w:id="1"/>
    <w:p w14:paraId="40A18B2C" w14:textId="0D779BBC" w:rsidR="00BD1D90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>ostaw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8B3156">
        <w:rPr>
          <w:rFonts w:ascii="Arial" w:eastAsia="Times New Roman" w:hAnsi="Arial" w:cs="Arial"/>
          <w:b/>
          <w:sz w:val="18"/>
          <w:szCs w:val="18"/>
          <w:lang w:eastAsia="pl-PL"/>
        </w:rPr>
        <w:t>oleju napędowego grzewczego.</w:t>
      </w:r>
      <w:r w:rsidRPr="00BD1D9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26184C57" w14:textId="2AEE1D74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3E6310" w:rsidRPr="003E6310">
        <w:rPr>
          <w:rFonts w:ascii="Arial" w:eastAsia="Times New Roman" w:hAnsi="Arial" w:cs="Arial"/>
          <w:b/>
          <w:sz w:val="18"/>
          <w:szCs w:val="18"/>
          <w:lang w:eastAsia="pl-PL"/>
        </w:rPr>
        <w:t>00137107/01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3E6310">
        <w:rPr>
          <w:rFonts w:ascii="Arial" w:eastAsia="Times New Roman" w:hAnsi="Arial" w:cs="Arial"/>
          <w:b/>
          <w:sz w:val="18"/>
          <w:szCs w:val="18"/>
          <w:lang w:eastAsia="pl-PL"/>
        </w:rPr>
        <w:t>04-27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B6C49FB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3E6310">
        <w:rPr>
          <w:rFonts w:ascii="Arial" w:eastAsia="Times New Roman" w:hAnsi="Arial" w:cs="Arial"/>
          <w:sz w:val="18"/>
          <w:szCs w:val="18"/>
          <w:lang w:eastAsia="pl-PL"/>
        </w:rPr>
        <w:t>27.04.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25474CF8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608615" w14:textId="77777777" w:rsidR="00DF37AA" w:rsidRPr="00C22E5B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C474D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E81302B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6A34F3">
        <w:rPr>
          <w:rFonts w:ascii="Arial" w:eastAsia="Times New Roman" w:hAnsi="Arial" w:cs="Arial"/>
          <w:b/>
          <w:sz w:val="18"/>
          <w:szCs w:val="18"/>
          <w:lang w:eastAsia="pl-PL"/>
        </w:rPr>
        <w:t>58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72D05295" w:rsidR="002A6474" w:rsidRPr="00C22E5B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i 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dostaw</w:t>
      </w:r>
      <w:r w:rsid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</w:t>
      </w:r>
      <w:r w:rsidR="00C53A23" w:rsidRPr="00C53A2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6A34F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oleju napędowego grzewczego</w:t>
      </w:r>
      <w:r w:rsidR="000E547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Ekoterm</w:t>
      </w:r>
      <w:r w:rsidR="00651B3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1C68826C" w:rsidR="002A6474" w:rsidRPr="000E5471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  <w:r w:rsidR="000E547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7B3EC258" w14:textId="77777777" w:rsidR="00B10E4F" w:rsidRDefault="000E5471" w:rsidP="000E5471">
      <w:pPr>
        <w:pStyle w:val="Akapitzlist"/>
        <w:numPr>
          <w:ilvl w:val="0"/>
          <w:numId w:val="33"/>
        </w:numPr>
        <w:tabs>
          <w:tab w:val="num" w:pos="284"/>
          <w:tab w:val="num" w:pos="900"/>
        </w:tabs>
        <w:suppressAutoHyphens/>
        <w:ind w:right="-174" w:firstLine="54"/>
        <w:rPr>
          <w:b/>
          <w:bCs/>
          <w:sz w:val="18"/>
        </w:rPr>
      </w:pPr>
      <w:r w:rsidRPr="000E5471">
        <w:rPr>
          <w:b/>
          <w:bCs/>
          <w:snapToGrid w:val="0"/>
          <w:sz w:val="18"/>
        </w:rPr>
        <w:t xml:space="preserve">zamawiający </w:t>
      </w:r>
      <w:r w:rsidRPr="000E5471">
        <w:rPr>
          <w:b/>
          <w:bCs/>
          <w:sz w:val="18"/>
        </w:rPr>
        <w:t>oczekuje zaoferowania paliwa o właściwościach nie gorszych niż posiadane przez olej grzewczy Ekoterm Plus, prezentowanych na stronie:</w:t>
      </w:r>
    </w:p>
    <w:p w14:paraId="7C8DC3D2" w14:textId="3D6FE21D" w:rsidR="00B10E4F" w:rsidRDefault="000E5471" w:rsidP="00B10E4F">
      <w:pPr>
        <w:pStyle w:val="Akapitzlist"/>
        <w:numPr>
          <w:ilvl w:val="0"/>
          <w:numId w:val="33"/>
        </w:numPr>
        <w:tabs>
          <w:tab w:val="num" w:pos="284"/>
          <w:tab w:val="num" w:pos="900"/>
        </w:tabs>
        <w:suppressAutoHyphens/>
        <w:ind w:right="-174" w:firstLine="54"/>
        <w:rPr>
          <w:b/>
          <w:bCs/>
          <w:sz w:val="18"/>
        </w:rPr>
      </w:pPr>
      <w:r w:rsidRPr="000E5471">
        <w:rPr>
          <w:b/>
          <w:bCs/>
          <w:sz w:val="18"/>
        </w:rPr>
        <w:t xml:space="preserve"> </w:t>
      </w:r>
      <w:hyperlink r:id="rId12" w:history="1">
        <w:r w:rsidR="00B10E4F" w:rsidRPr="00A668DE">
          <w:rPr>
            <w:rStyle w:val="Hipercze"/>
            <w:b/>
            <w:bCs/>
            <w:sz w:val="18"/>
          </w:rPr>
          <w:t>https://www.orlen.pl/pl/dla-biznesu/produkty/paliwa-grzewcze/olej-napedowy-grzewczy-ekoterm</w:t>
        </w:r>
      </w:hyperlink>
    </w:p>
    <w:p w14:paraId="7EADE3D5" w14:textId="2CE6DAF0" w:rsidR="000E5471" w:rsidRPr="00B10E4F" w:rsidRDefault="000E5471" w:rsidP="00B10E4F">
      <w:pPr>
        <w:pStyle w:val="Akapitzlist"/>
        <w:numPr>
          <w:ilvl w:val="0"/>
          <w:numId w:val="33"/>
        </w:numPr>
        <w:suppressAutoHyphens/>
        <w:ind w:right="-174" w:firstLine="54"/>
        <w:rPr>
          <w:b/>
          <w:bCs/>
          <w:sz w:val="18"/>
        </w:rPr>
      </w:pPr>
      <w:r w:rsidRPr="00B10E4F">
        <w:rPr>
          <w:b/>
          <w:bCs/>
          <w:sz w:val="18"/>
        </w:rPr>
        <w:t>Jeśli  oferent zamierza zaoferować olej inny niż wskazany, winien wraz z ofertą złożyć, wytworzony przez producenta paliwa, dokument  potwierdzający spełnienie wymagań określonych powyżej, lub wskazać miejsce, z którego taki dokument może zamawiający pobrać w formie elektronicznej.</w:t>
      </w:r>
    </w:p>
    <w:p w14:paraId="1EFA199F" w14:textId="77777777" w:rsidR="000E5471" w:rsidRDefault="000E5471" w:rsidP="000E5471">
      <w:pPr>
        <w:tabs>
          <w:tab w:val="num" w:pos="900"/>
        </w:tabs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0E547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Obowiązek udowodnienia równoważności  oferowanego oleju z paliwem przedstawionym dla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</w:p>
    <w:p w14:paraId="463A0831" w14:textId="77777777" w:rsidR="00B10E4F" w:rsidRDefault="000E5471" w:rsidP="000E5471">
      <w:pPr>
        <w:tabs>
          <w:tab w:val="num" w:pos="900"/>
        </w:tabs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</w:t>
      </w:r>
      <w:r w:rsidRPr="000E547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przykładu  spoczywa na oferencie. </w:t>
      </w:r>
    </w:p>
    <w:p w14:paraId="04F25380" w14:textId="7C6F15FD" w:rsidR="000E5471" w:rsidRPr="00B10E4F" w:rsidRDefault="00F24F1B" w:rsidP="00B10E4F">
      <w:pPr>
        <w:pStyle w:val="Akapitzlist"/>
        <w:numPr>
          <w:ilvl w:val="0"/>
          <w:numId w:val="44"/>
        </w:numPr>
        <w:tabs>
          <w:tab w:val="num" w:pos="900"/>
        </w:tabs>
        <w:suppressAutoHyphens/>
        <w:ind w:right="-174" w:hanging="57"/>
        <w:rPr>
          <w:b/>
          <w:bCs/>
          <w:sz w:val="18"/>
        </w:rPr>
      </w:pPr>
      <w:r w:rsidRPr="00B10E4F">
        <w:rPr>
          <w:b/>
          <w:bCs/>
          <w:sz w:val="18"/>
        </w:rPr>
        <w:t>Miejsce dostaw: kotłownia przy ul. Długiej 9, 06-400 Ciechanów.</w:t>
      </w:r>
      <w:r w:rsidR="000E5471" w:rsidRPr="00B10E4F">
        <w:rPr>
          <w:b/>
          <w:bCs/>
          <w:sz w:val="18"/>
        </w:rPr>
        <w:t xml:space="preserve">                                                                 </w:t>
      </w:r>
    </w:p>
    <w:p w14:paraId="080E26C6" w14:textId="77777777" w:rsidR="002A6474" w:rsidRPr="00C22E5B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treści swz niniejszego postępowania przetargowego, w tym z projektu umowy (załącznik nr 3 do swz)</w:t>
      </w:r>
    </w:p>
    <w:p w14:paraId="623AC6A9" w14:textId="77777777" w:rsidR="002A6474" w:rsidRPr="00C22E5B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52F53AA" w:rsidR="002A6474" w:rsidRPr="00C22E5B" w:rsidRDefault="006A34F3" w:rsidP="006A34F3">
            <w:pPr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A34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09134000-7</w:t>
            </w:r>
          </w:p>
        </w:tc>
        <w:tc>
          <w:tcPr>
            <w:tcW w:w="3516" w:type="dxa"/>
          </w:tcPr>
          <w:p w14:paraId="27E092A1" w14:textId="36024D7E" w:rsidR="002A6474" w:rsidRPr="00C22E5B" w:rsidRDefault="006A34F3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Olej napedowy</w:t>
            </w:r>
          </w:p>
        </w:tc>
      </w:tr>
    </w:tbl>
    <w:p w14:paraId="723810A6" w14:textId="1B05135E" w:rsidR="00BB3772" w:rsidRPr="006A34F3" w:rsidRDefault="002A6474" w:rsidP="006A34F3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6A34F3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6A34F3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  <w:r w:rsidR="006A34F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633061C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6A34F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593749A5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F478E">
        <w:rPr>
          <w:rFonts w:ascii="Arial" w:eastAsia="Times New Roman" w:hAnsi="Arial" w:cs="Arial"/>
          <w:sz w:val="18"/>
          <w:szCs w:val="18"/>
          <w:lang w:eastAsia="pl-PL"/>
        </w:rPr>
        <w:t>Jacek Baranowski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</w:t>
      </w:r>
      <w:r w:rsidR="000F478E">
        <w:rPr>
          <w:rFonts w:ascii="Arial" w:eastAsia="Times New Roman" w:hAnsi="Arial" w:cs="Arial"/>
          <w:sz w:val="18"/>
          <w:szCs w:val="18"/>
          <w:lang w:eastAsia="pl-PL"/>
        </w:rPr>
        <w:t>03 48</w:t>
      </w:r>
      <w:r w:rsidR="009F17CE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146A9B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. </w:t>
      </w:r>
      <w:r w:rsidRPr="00146A9B">
        <w:rPr>
          <w:rFonts w:ascii="Arial" w:eastAsia="Times New Roman" w:hAnsi="Arial" w:cs="Arial"/>
          <w:b/>
          <w:i/>
          <w:iCs/>
          <w:noProof/>
          <w:color w:val="FF0000"/>
          <w:sz w:val="18"/>
          <w:szCs w:val="18"/>
          <w:lang w:eastAsia="pl-PL"/>
        </w:rPr>
        <w:t xml:space="preserve">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07DCDC15" w14:textId="55C6F0A8" w:rsidR="00B62B9E" w:rsidRPr="00EF6C09" w:rsidRDefault="00EF6C09" w:rsidP="00BB3B94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/>
          <w:noProof/>
          <w:sz w:val="18"/>
          <w:szCs w:val="18"/>
          <w:lang w:bidi="pl-PL"/>
        </w:rPr>
      </w:pPr>
      <w:bookmarkStart w:id="26" w:name="_Hlk58839915"/>
      <w:r w:rsidRPr="00EF6C09">
        <w:rPr>
          <w:rFonts w:ascii="Arial" w:hAnsi="Arial" w:cs="Arial"/>
          <w:b/>
          <w:noProof/>
          <w:sz w:val="18"/>
          <w:szCs w:val="18"/>
          <w:lang w:bidi="pl-PL"/>
        </w:rPr>
        <w:t>Nie dotyczy</w:t>
      </w:r>
    </w:p>
    <w:p w14:paraId="3EF3D331" w14:textId="6F2A4CC0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6B70E0A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3E631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06.05.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2958D7AE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3E631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06.05.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156744E4" w:rsid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775801F8" w14:textId="27B0BD55" w:rsidR="00DE4941" w:rsidRPr="00DE4941" w:rsidRDefault="00311BEE" w:rsidP="00DE4941">
      <w:pPr>
        <w:numPr>
          <w:ilvl w:val="0"/>
          <w:numId w:val="38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hAnsi="Arial" w:cs="Arial"/>
          <w:sz w:val="18"/>
          <w:szCs w:val="18"/>
        </w:rPr>
      </w:pPr>
      <w:r w:rsidRPr="00311BEE">
        <w:rPr>
          <w:rFonts w:ascii="Arial" w:hAnsi="Arial" w:cs="Arial"/>
          <w:sz w:val="18"/>
          <w:szCs w:val="18"/>
        </w:rPr>
        <w:t>Przy  wyborze  najkorzystniejszej  oferty   zamawiający  będzie  się kierował  jedynie  kryterium ceny</w:t>
      </w:r>
      <w:r w:rsidR="00DE4941" w:rsidRPr="00DE4941">
        <w:rPr>
          <w:b/>
          <w:bCs/>
          <w:noProof/>
        </w:rPr>
        <w:t xml:space="preserve"> </w:t>
      </w:r>
      <w:r w:rsidR="00DE4941" w:rsidRPr="00F66CA8">
        <w:rPr>
          <w:noProof/>
        </w:rPr>
        <w:t xml:space="preserve">- </w:t>
      </w:r>
      <w:r w:rsidR="00DE4941" w:rsidRPr="00F66CA8">
        <w:rPr>
          <w:b/>
          <w:bCs/>
          <w:noProof/>
        </w:rPr>
        <w:t>100%.</w:t>
      </w:r>
    </w:p>
    <w:p w14:paraId="009F55BA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BB3772">
      <w:footerReference w:type="even" r:id="rId18"/>
      <w:footerReference w:type="default" r:id="rId19"/>
      <w:footerReference w:type="first" r:id="rId20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F620" w14:textId="77777777" w:rsidR="000C474D" w:rsidRDefault="000C474D">
      <w:pPr>
        <w:spacing w:after="0" w:line="240" w:lineRule="auto"/>
      </w:pPr>
      <w:r>
        <w:separator/>
      </w:r>
    </w:p>
  </w:endnote>
  <w:endnote w:type="continuationSeparator" w:id="0">
    <w:p w14:paraId="6B8E2470" w14:textId="77777777" w:rsidR="000C474D" w:rsidRDefault="000C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C47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C474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C4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54D72" w14:textId="77777777" w:rsidR="000C474D" w:rsidRDefault="000C474D">
      <w:pPr>
        <w:spacing w:after="0" w:line="240" w:lineRule="auto"/>
      </w:pPr>
      <w:r>
        <w:separator/>
      </w:r>
    </w:p>
  </w:footnote>
  <w:footnote w:type="continuationSeparator" w:id="0">
    <w:p w14:paraId="5ACABA34" w14:textId="77777777" w:rsidR="000C474D" w:rsidRDefault="000C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8B469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062934"/>
    <w:multiLevelType w:val="hybridMultilevel"/>
    <w:tmpl w:val="48600D76"/>
    <w:lvl w:ilvl="0" w:tplc="E8CA3B34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2B31AAA"/>
    <w:multiLevelType w:val="hybridMultilevel"/>
    <w:tmpl w:val="1EF4D980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070765170">
    <w:abstractNumId w:val="0"/>
  </w:num>
  <w:num w:numId="2" w16cid:durableId="1953052933">
    <w:abstractNumId w:val="1"/>
  </w:num>
  <w:num w:numId="3" w16cid:durableId="831531476">
    <w:abstractNumId w:val="2"/>
  </w:num>
  <w:num w:numId="4" w16cid:durableId="2040550526">
    <w:abstractNumId w:val="4"/>
  </w:num>
  <w:num w:numId="5" w16cid:durableId="1972862133">
    <w:abstractNumId w:val="3"/>
  </w:num>
  <w:num w:numId="6" w16cid:durableId="439642127">
    <w:abstractNumId w:val="5"/>
  </w:num>
  <w:num w:numId="7" w16cid:durableId="1596018719">
    <w:abstractNumId w:val="39"/>
  </w:num>
  <w:num w:numId="8" w16cid:durableId="167719806">
    <w:abstractNumId w:val="24"/>
  </w:num>
  <w:num w:numId="9" w16cid:durableId="579680421">
    <w:abstractNumId w:val="40"/>
  </w:num>
  <w:num w:numId="10" w16cid:durableId="449252169">
    <w:abstractNumId w:val="22"/>
  </w:num>
  <w:num w:numId="11" w16cid:durableId="1274552021">
    <w:abstractNumId w:val="38"/>
  </w:num>
  <w:num w:numId="12" w16cid:durableId="1412239925">
    <w:abstractNumId w:val="31"/>
  </w:num>
  <w:num w:numId="13" w16cid:durableId="1731880748">
    <w:abstractNumId w:val="14"/>
  </w:num>
  <w:num w:numId="14" w16cid:durableId="512107303">
    <w:abstractNumId w:val="28"/>
  </w:num>
  <w:num w:numId="15" w16cid:durableId="1159275766">
    <w:abstractNumId w:val="16"/>
  </w:num>
  <w:num w:numId="16" w16cid:durableId="696001194">
    <w:abstractNumId w:val="25"/>
  </w:num>
  <w:num w:numId="17" w16cid:durableId="1156611141">
    <w:abstractNumId w:val="7"/>
  </w:num>
  <w:num w:numId="18" w16cid:durableId="671377896">
    <w:abstractNumId w:val="6"/>
  </w:num>
  <w:num w:numId="19" w16cid:durableId="1022904120">
    <w:abstractNumId w:val="37"/>
  </w:num>
  <w:num w:numId="20" w16cid:durableId="742533922">
    <w:abstractNumId w:val="36"/>
  </w:num>
  <w:num w:numId="21" w16cid:durableId="1893073067">
    <w:abstractNumId w:val="41"/>
  </w:num>
  <w:num w:numId="22" w16cid:durableId="1667317516">
    <w:abstractNumId w:val="15"/>
  </w:num>
  <w:num w:numId="23" w16cid:durableId="1642926324">
    <w:abstractNumId w:val="34"/>
  </w:num>
  <w:num w:numId="24" w16cid:durableId="323894608">
    <w:abstractNumId w:val="27"/>
  </w:num>
  <w:num w:numId="25" w16cid:durableId="1144616425">
    <w:abstractNumId w:val="11"/>
  </w:num>
  <w:num w:numId="26" w16cid:durableId="578027963">
    <w:abstractNumId w:val="8"/>
  </w:num>
  <w:num w:numId="27" w16cid:durableId="1530412022">
    <w:abstractNumId w:val="43"/>
  </w:num>
  <w:num w:numId="28" w16cid:durableId="1310282865">
    <w:abstractNumId w:val="26"/>
  </w:num>
  <w:num w:numId="29" w16cid:durableId="28995457">
    <w:abstractNumId w:val="20"/>
  </w:num>
  <w:num w:numId="30" w16cid:durableId="17491142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89238037">
    <w:abstractNumId w:val="29"/>
  </w:num>
  <w:num w:numId="32" w16cid:durableId="641352735">
    <w:abstractNumId w:val="12"/>
  </w:num>
  <w:num w:numId="33" w16cid:durableId="518354827">
    <w:abstractNumId w:val="17"/>
  </w:num>
  <w:num w:numId="34" w16cid:durableId="1214001038">
    <w:abstractNumId w:val="19"/>
  </w:num>
  <w:num w:numId="35" w16cid:durableId="1988243700">
    <w:abstractNumId w:val="35"/>
  </w:num>
  <w:num w:numId="36" w16cid:durableId="1208033787">
    <w:abstractNumId w:val="18"/>
  </w:num>
  <w:num w:numId="37" w16cid:durableId="1302416535">
    <w:abstractNumId w:val="32"/>
  </w:num>
  <w:num w:numId="38" w16cid:durableId="2053260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4071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0013536">
    <w:abstractNumId w:val="33"/>
  </w:num>
  <w:num w:numId="41" w16cid:durableId="1643734804">
    <w:abstractNumId w:val="42"/>
  </w:num>
  <w:num w:numId="42" w16cid:durableId="1952589869">
    <w:abstractNumId w:val="9"/>
  </w:num>
  <w:num w:numId="43" w16cid:durableId="271938635">
    <w:abstractNumId w:val="10"/>
  </w:num>
  <w:num w:numId="44" w16cid:durableId="952521257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64C60"/>
    <w:rsid w:val="00071727"/>
    <w:rsid w:val="000A48DB"/>
    <w:rsid w:val="000A6963"/>
    <w:rsid w:val="000B6237"/>
    <w:rsid w:val="000C474D"/>
    <w:rsid w:val="000D6D56"/>
    <w:rsid w:val="000E5471"/>
    <w:rsid w:val="000F478E"/>
    <w:rsid w:val="00127E9E"/>
    <w:rsid w:val="00146A9B"/>
    <w:rsid w:val="00161507"/>
    <w:rsid w:val="00192016"/>
    <w:rsid w:val="001B162E"/>
    <w:rsid w:val="00202E63"/>
    <w:rsid w:val="00232500"/>
    <w:rsid w:val="00237172"/>
    <w:rsid w:val="002638B8"/>
    <w:rsid w:val="0028369D"/>
    <w:rsid w:val="002A6474"/>
    <w:rsid w:val="002C7B49"/>
    <w:rsid w:val="002E7633"/>
    <w:rsid w:val="00301AC8"/>
    <w:rsid w:val="00311BEE"/>
    <w:rsid w:val="00331313"/>
    <w:rsid w:val="00333E5F"/>
    <w:rsid w:val="003523B4"/>
    <w:rsid w:val="00394952"/>
    <w:rsid w:val="00397972"/>
    <w:rsid w:val="003A0F55"/>
    <w:rsid w:val="003B6A39"/>
    <w:rsid w:val="003C3820"/>
    <w:rsid w:val="003E4C04"/>
    <w:rsid w:val="003E6310"/>
    <w:rsid w:val="00413042"/>
    <w:rsid w:val="00424AE5"/>
    <w:rsid w:val="004B46DB"/>
    <w:rsid w:val="004B5DCC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35BAC"/>
    <w:rsid w:val="00651B3E"/>
    <w:rsid w:val="00655C15"/>
    <w:rsid w:val="00677D48"/>
    <w:rsid w:val="006A34F3"/>
    <w:rsid w:val="006B38EB"/>
    <w:rsid w:val="006B5839"/>
    <w:rsid w:val="006D52B3"/>
    <w:rsid w:val="006D66A4"/>
    <w:rsid w:val="00732BC5"/>
    <w:rsid w:val="00734E2C"/>
    <w:rsid w:val="00744E12"/>
    <w:rsid w:val="00755B79"/>
    <w:rsid w:val="0075601F"/>
    <w:rsid w:val="0077080F"/>
    <w:rsid w:val="00772E95"/>
    <w:rsid w:val="00776A21"/>
    <w:rsid w:val="007B0CE1"/>
    <w:rsid w:val="007E09AC"/>
    <w:rsid w:val="007F3B31"/>
    <w:rsid w:val="008169F8"/>
    <w:rsid w:val="00850A59"/>
    <w:rsid w:val="00892C98"/>
    <w:rsid w:val="008B3156"/>
    <w:rsid w:val="008B4B7C"/>
    <w:rsid w:val="008D7FDE"/>
    <w:rsid w:val="008F0B0A"/>
    <w:rsid w:val="009053AA"/>
    <w:rsid w:val="009500C1"/>
    <w:rsid w:val="00951D57"/>
    <w:rsid w:val="009730CF"/>
    <w:rsid w:val="009808F2"/>
    <w:rsid w:val="00981EF8"/>
    <w:rsid w:val="009940EC"/>
    <w:rsid w:val="009C41B8"/>
    <w:rsid w:val="009F17CE"/>
    <w:rsid w:val="00A0577B"/>
    <w:rsid w:val="00A5090B"/>
    <w:rsid w:val="00A7414C"/>
    <w:rsid w:val="00A847CC"/>
    <w:rsid w:val="00AA2920"/>
    <w:rsid w:val="00AA4367"/>
    <w:rsid w:val="00AB61DB"/>
    <w:rsid w:val="00AC6389"/>
    <w:rsid w:val="00AF030E"/>
    <w:rsid w:val="00B00A32"/>
    <w:rsid w:val="00B10E4F"/>
    <w:rsid w:val="00B237E5"/>
    <w:rsid w:val="00B31D5D"/>
    <w:rsid w:val="00B459B0"/>
    <w:rsid w:val="00B62B9E"/>
    <w:rsid w:val="00BB3772"/>
    <w:rsid w:val="00BB3B94"/>
    <w:rsid w:val="00BD1D90"/>
    <w:rsid w:val="00BF07E4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7125"/>
    <w:rsid w:val="00D828C3"/>
    <w:rsid w:val="00D90B4A"/>
    <w:rsid w:val="00D92A33"/>
    <w:rsid w:val="00DA35BB"/>
    <w:rsid w:val="00DE4941"/>
    <w:rsid w:val="00DF37AA"/>
    <w:rsid w:val="00E31BE6"/>
    <w:rsid w:val="00E50860"/>
    <w:rsid w:val="00E92A0D"/>
    <w:rsid w:val="00EA6688"/>
    <w:rsid w:val="00EB05FE"/>
    <w:rsid w:val="00EB7190"/>
    <w:rsid w:val="00EF6C09"/>
    <w:rsid w:val="00F15395"/>
    <w:rsid w:val="00F15CEB"/>
    <w:rsid w:val="00F24F1B"/>
    <w:rsid w:val="00F53218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rlen.pl/pl/dla-biznesu/produkty/paliwa-grzewcze/olej-napedowy-grzewczy-ekoterm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4448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110</cp:revision>
  <cp:lastPrinted>2021-06-01T07:52:00Z</cp:lastPrinted>
  <dcterms:created xsi:type="dcterms:W3CDTF">2021-06-01T07:43:00Z</dcterms:created>
  <dcterms:modified xsi:type="dcterms:W3CDTF">2022-04-27T10:10:00Z</dcterms:modified>
</cp:coreProperties>
</file>