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C425F5E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8E1A25">
        <w:rPr>
          <w:rFonts w:asciiTheme="minorHAnsi" w:hAnsiTheme="minorHAnsi" w:cs="Tahoma"/>
          <w:b/>
          <w:bCs/>
          <w:sz w:val="22"/>
          <w:szCs w:val="22"/>
        </w:rPr>
        <w:t>91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0F36FC84" w14:textId="0ADC3DF1" w:rsidR="00D870D0" w:rsidRPr="00185859" w:rsidRDefault="00D870D0" w:rsidP="00592287">
      <w:pPr>
        <w:pStyle w:val="Tekstpodstawowywcity2"/>
        <w:spacing w:after="0" w:line="240" w:lineRule="auto"/>
        <w:ind w:left="357"/>
        <w:rPr>
          <w:rFonts w:asciiTheme="minorHAnsi" w:hAnsiTheme="minorHAnsi" w:cs="Tahoma"/>
          <w:b/>
          <w:sz w:val="22"/>
          <w:szCs w:val="22"/>
        </w:rPr>
      </w:pPr>
      <w:r w:rsidRPr="00185859">
        <w:rPr>
          <w:rFonts w:asciiTheme="minorHAnsi" w:hAnsiTheme="minorHAnsi" w:cs="Tahoma"/>
          <w:b/>
          <w:sz w:val="22"/>
          <w:szCs w:val="22"/>
        </w:rPr>
        <w:t>do przetestowania w przetargu nieograniczonym na dostawę</w:t>
      </w:r>
      <w:r w:rsidR="00594D55" w:rsidRPr="00594D55">
        <w:rPr>
          <w:rFonts w:asciiTheme="minorHAnsi" w:hAnsiTheme="minorHAnsi" w:cs="Tahoma"/>
          <w:b/>
          <w:bCs/>
          <w:sz w:val="22"/>
          <w:szCs w:val="22"/>
        </w:rPr>
        <w:t xml:space="preserve"> jednorazowego sprzętu  do leczenia pacjentów hospitalizowanych w </w:t>
      </w:r>
      <w:proofErr w:type="spellStart"/>
      <w:r w:rsidR="00594D55" w:rsidRPr="00594D55">
        <w:rPr>
          <w:rFonts w:asciiTheme="minorHAnsi" w:hAnsiTheme="minorHAnsi" w:cs="Tahoma"/>
          <w:b/>
          <w:bCs/>
          <w:sz w:val="22"/>
          <w:szCs w:val="22"/>
        </w:rPr>
        <w:t>O</w:t>
      </w:r>
      <w:r w:rsidR="008E1A25">
        <w:rPr>
          <w:rFonts w:asciiTheme="minorHAnsi" w:hAnsiTheme="minorHAnsi" w:cs="Tahoma"/>
          <w:b/>
          <w:bCs/>
          <w:sz w:val="22"/>
          <w:szCs w:val="22"/>
        </w:rPr>
        <w:t>Ai</w:t>
      </w:r>
      <w:r w:rsidR="00594D55" w:rsidRPr="00594D55">
        <w:rPr>
          <w:rFonts w:asciiTheme="minorHAnsi" w:hAnsiTheme="minorHAnsi" w:cs="Tahoma"/>
          <w:b/>
          <w:bCs/>
          <w:sz w:val="22"/>
          <w:szCs w:val="22"/>
        </w:rPr>
        <w:t>IT</w:t>
      </w:r>
      <w:proofErr w:type="spellEnd"/>
      <w:r w:rsidR="00594D55" w:rsidRPr="00594D55">
        <w:rPr>
          <w:rFonts w:asciiTheme="minorHAnsi" w:hAnsiTheme="minorHAnsi" w:cs="Tahoma"/>
          <w:b/>
          <w:bCs/>
          <w:sz w:val="22"/>
          <w:szCs w:val="22"/>
        </w:rPr>
        <w:t xml:space="preserve"> </w:t>
      </w:r>
    </w:p>
    <w:p w14:paraId="4B820960" w14:textId="77777777" w:rsidR="00D870D0" w:rsidRPr="00185859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Theme="minorHAnsi" w:hAnsiTheme="minorHAnsi" w:cs="Tahoma"/>
          <w:b/>
          <w:sz w:val="22"/>
          <w:szCs w:val="22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6A266A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0FDFA176" w:rsidR="00D870D0" w:rsidRPr="0004736D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</w:rPr>
              <w:t xml:space="preserve">PAKIET NR </w:t>
            </w:r>
            <w:r w:rsidR="0017573F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04736D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17573F" w:rsidRPr="0017573F">
              <w:rPr>
                <w:rFonts w:ascii="Tahoma" w:hAnsi="Tahoma" w:cs="Tahoma"/>
                <w:b/>
                <w:bCs/>
                <w:sz w:val="16"/>
                <w:szCs w:val="16"/>
              </w:rPr>
              <w:t>P2 Zestawy infuzyjne</w:t>
            </w:r>
          </w:p>
        </w:tc>
      </w:tr>
      <w:tr w:rsidR="0017573F" w:rsidRPr="00BE36E6" w14:paraId="3F0846C9" w14:textId="77777777" w:rsidTr="00C34F21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01BD6ADD" w:rsidR="0017573F" w:rsidRPr="00AA7794" w:rsidRDefault="0017573F" w:rsidP="001757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Dren do  pompy infuzyjnej </w:t>
            </w:r>
            <w:proofErr w:type="spellStart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Infusomat</w:t>
            </w:r>
            <w:proofErr w:type="spellEnd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Space, posiadający ostry kolec komory kroplowej, odpowietrznik z filtrem przeciwbakteryjnym i klapką zamykającą, górna część komory kroplowej dopasowana do czujnika kropli, 15 </w:t>
            </w:r>
            <w:proofErr w:type="spellStart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um</w:t>
            </w:r>
            <w:proofErr w:type="spellEnd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filtr infuzyjny w komorze kroplowej, zacisk rolkowy ze </w:t>
            </w:r>
            <w:proofErr w:type="spellStart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specjanym</w:t>
            </w:r>
            <w:proofErr w:type="spellEnd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miejscem na unieruchomienie i zabezpieczenie kolca po zakończonej infuzji, wstawka silikonowa kontaktująca </w:t>
            </w:r>
            <w:proofErr w:type="spellStart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sie</w:t>
            </w:r>
            <w:proofErr w:type="spellEnd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 mechanizmem pompy, końcówka drenu </w:t>
            </w:r>
            <w:proofErr w:type="spellStart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luer</w:t>
            </w:r>
            <w:proofErr w:type="spellEnd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-lock, dł. drenu 250cm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0386E23F" w:rsidR="0017573F" w:rsidRPr="0004736D" w:rsidRDefault="0017573F" w:rsidP="0017573F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17573F" w:rsidRPr="00BE36E6" w:rsidRDefault="0017573F" w:rsidP="0017573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17573F" w:rsidRPr="00BE36E6" w:rsidRDefault="0017573F" w:rsidP="0017573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573F" w:rsidRPr="00BE36E6" w14:paraId="1B604D4F" w14:textId="77777777" w:rsidTr="00C34F21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2D098" w14:textId="5AB95C3A" w:rsidR="0017573F" w:rsidRPr="00AA7794" w:rsidRDefault="0017573F" w:rsidP="001757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Dren do pompy infuzyjnej </w:t>
            </w:r>
            <w:proofErr w:type="spellStart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Infusomat</w:t>
            </w:r>
            <w:proofErr w:type="spellEnd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Space, zapewniający ochronę przed światłem, posiadający ostry kolec komory kroplowej, odpowietrznik z filtrem przeciwbakteryjnym i klapką zamykającą, górna część komory kroplowej dopasowaną do czujnika kropli, komora kroplowa posiadająca filtr infuzyjny 15 </w:t>
            </w:r>
            <w:proofErr w:type="spellStart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um</w:t>
            </w:r>
            <w:proofErr w:type="spellEnd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oraz filtr powietrza zapobiegający dostaniu się powietrza do pacjenta, zacisk rolkowy ze specjalnym miejscem na unieruchomienie i zabezpieczenie kolca po zakończonej infuzji, wbudowana wstawka silikonowa kontaktująca się z mechanizmem pompy, końcówka drenu </w:t>
            </w:r>
            <w:proofErr w:type="spellStart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luer</w:t>
            </w:r>
            <w:proofErr w:type="spellEnd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-lock, dł. drenu 250cm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3114806B" w:rsidR="0017573F" w:rsidRPr="0004736D" w:rsidRDefault="0017573F" w:rsidP="0017573F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17573F" w:rsidRPr="00BE36E6" w:rsidRDefault="0017573F" w:rsidP="0017573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17573F" w:rsidRPr="00BE36E6" w:rsidRDefault="0017573F" w:rsidP="0017573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573F" w:rsidRPr="00BE36E6" w14:paraId="309BE798" w14:textId="77777777" w:rsidTr="00C34F21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A7BF84" w14:textId="1396E3CE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AFAD3" w14:textId="141402E7" w:rsidR="0017573F" w:rsidRPr="00AA7794" w:rsidRDefault="0017573F" w:rsidP="001757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Dren do pompy infuzyjnej </w:t>
            </w:r>
            <w:proofErr w:type="spellStart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Infusomat</w:t>
            </w:r>
            <w:proofErr w:type="spellEnd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Space Line, do żywienia dojelitowego; dren wyposażony w uniwersalny </w:t>
            </w:r>
            <w:proofErr w:type="spellStart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>multikonektor</w:t>
            </w:r>
            <w:proofErr w:type="spellEnd"/>
            <w:r w:rsidRPr="00AA779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kompatybilny z każdym rodzajem pojemnika i bezigłowy port do wstrzyknięć; dren wyposażony w zacisk rolkowy i stopniowy adapter stożkowy do cewników do żywienia; dren wolny od PCV o długości min. 300 cm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F25629F" w14:textId="682FA448" w:rsidR="0017573F" w:rsidRPr="0004736D" w:rsidRDefault="0017573F" w:rsidP="0017573F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452BCE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0AE409A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F1015A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CDB662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DAA6FD" w14:textId="77777777" w:rsidR="0017573F" w:rsidRPr="0004736D" w:rsidRDefault="0017573F" w:rsidP="0017573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452C7F" w14:textId="77777777" w:rsidR="0017573F" w:rsidRPr="00BE36E6" w:rsidRDefault="0017573F" w:rsidP="0017573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8C8F640" w14:textId="77777777" w:rsidR="0017573F" w:rsidRPr="00BE36E6" w:rsidRDefault="0017573F" w:rsidP="0017573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5EBA8A69" w14:textId="0F8D9ED1" w:rsidR="00D870D0" w:rsidRPr="004423E9" w:rsidRDefault="00D870D0" w:rsidP="00AA7794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70C91CEE" w14:textId="3A720721" w:rsidR="004A5C5F" w:rsidRPr="00AA7794" w:rsidRDefault="00D870D0" w:rsidP="00AA7794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4A5C5F" w:rsidRPr="00AA7794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48E7"/>
    <w:rsid w:val="0017573F"/>
    <w:rsid w:val="002A0F3B"/>
    <w:rsid w:val="002B2BF8"/>
    <w:rsid w:val="004A5C5F"/>
    <w:rsid w:val="00592287"/>
    <w:rsid w:val="00594D55"/>
    <w:rsid w:val="00651137"/>
    <w:rsid w:val="00685CA3"/>
    <w:rsid w:val="00695D6D"/>
    <w:rsid w:val="006E5B22"/>
    <w:rsid w:val="00817F15"/>
    <w:rsid w:val="008B0643"/>
    <w:rsid w:val="008E1A25"/>
    <w:rsid w:val="00AA7794"/>
    <w:rsid w:val="00D870D0"/>
    <w:rsid w:val="00E40FDF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22</cp:revision>
  <cp:lastPrinted>2021-05-18T10:04:00Z</cp:lastPrinted>
  <dcterms:created xsi:type="dcterms:W3CDTF">2021-04-14T10:46:00Z</dcterms:created>
  <dcterms:modified xsi:type="dcterms:W3CDTF">2022-07-01T07:49:00Z</dcterms:modified>
</cp:coreProperties>
</file>