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80940C" w14:textId="1FF81B79" w:rsidR="001D55A5" w:rsidRDefault="001D55A5"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8928FC">
        <w:rPr>
          <w:rFonts w:ascii="Arial" w:hAnsi="Arial" w:cs="Arial"/>
          <w:color w:val="00000A"/>
          <w:sz w:val="18"/>
          <w:szCs w:val="18"/>
        </w:rPr>
        <w:t>29</w:t>
      </w:r>
      <w:r>
        <w:rPr>
          <w:rFonts w:ascii="Arial" w:hAnsi="Arial" w:cs="Arial"/>
          <w:color w:val="00000A"/>
          <w:sz w:val="18"/>
          <w:szCs w:val="18"/>
        </w:rPr>
        <w:t>.</w:t>
      </w:r>
      <w:r w:rsidR="00045C23">
        <w:rPr>
          <w:rFonts w:ascii="Arial" w:hAnsi="Arial" w:cs="Arial"/>
          <w:color w:val="00000A"/>
          <w:sz w:val="18"/>
          <w:szCs w:val="18"/>
        </w:rPr>
        <w:t>0</w:t>
      </w:r>
      <w:r w:rsidR="008928FC">
        <w:rPr>
          <w:rFonts w:ascii="Arial" w:hAnsi="Arial" w:cs="Arial"/>
          <w:color w:val="00000A"/>
          <w:sz w:val="18"/>
          <w:szCs w:val="18"/>
        </w:rPr>
        <w:t>8</w:t>
      </w:r>
      <w:r>
        <w:rPr>
          <w:rFonts w:ascii="Arial" w:hAnsi="Arial" w:cs="Arial"/>
          <w:color w:val="00000A"/>
          <w:sz w:val="18"/>
          <w:szCs w:val="18"/>
        </w:rPr>
        <w:t>.202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3BBC42DD" w14:textId="103D78A7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>AT - ZP/2501/</w:t>
      </w:r>
      <w:r w:rsidR="008928FC">
        <w:rPr>
          <w:rFonts w:ascii="Arial" w:hAnsi="Arial" w:cs="Arial"/>
          <w:color w:val="00000A"/>
          <w:sz w:val="18"/>
          <w:szCs w:val="18"/>
        </w:rPr>
        <w:t>106</w:t>
      </w:r>
      <w:r>
        <w:rPr>
          <w:rFonts w:ascii="Arial" w:hAnsi="Arial" w:cs="Arial"/>
          <w:color w:val="00000A"/>
          <w:sz w:val="18"/>
          <w:szCs w:val="18"/>
        </w:rPr>
        <w:t>/2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</w:p>
    <w:p w14:paraId="405DDC18" w14:textId="77777777" w:rsidR="001D55A5" w:rsidRDefault="001D55A5">
      <w:pPr>
        <w:spacing w:before="280"/>
        <w:jc w:val="center"/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BD16D51" w14:textId="77777777" w:rsidR="001D55A5" w:rsidRDefault="001D55A5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43E7DAB0" w14:textId="1AB1FB11" w:rsidR="001D55A5" w:rsidRDefault="001D55A5" w:rsidP="007E6E0E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B90AAD">
        <w:rPr>
          <w:rFonts w:ascii="Arial" w:hAnsi="Arial" w:cs="Arial"/>
          <w:color w:val="00000A"/>
          <w:sz w:val="18"/>
          <w:szCs w:val="18"/>
        </w:rPr>
        <w:t>w trybie podstawowym bez negocjacji</w:t>
      </w:r>
      <w:r>
        <w:rPr>
          <w:rFonts w:ascii="Arial" w:hAnsi="Arial" w:cs="Arial"/>
          <w:color w:val="00000A"/>
          <w:sz w:val="18"/>
          <w:szCs w:val="18"/>
        </w:rPr>
        <w:t xml:space="preserve"> na </w:t>
      </w:r>
      <w:r w:rsidR="007003A6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="008928FC">
        <w:rPr>
          <w:rFonts w:ascii="Arial" w:hAnsi="Arial" w:cs="Arial"/>
          <w:b/>
          <w:bCs/>
          <w:color w:val="00000A"/>
          <w:sz w:val="18"/>
          <w:szCs w:val="18"/>
        </w:rPr>
        <w:t>produktów leczniczych</w:t>
      </w:r>
      <w:r w:rsidR="007003A6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8928FC">
        <w:rPr>
          <w:rFonts w:ascii="Arial" w:hAnsi="Arial" w:cs="Arial"/>
          <w:b/>
          <w:bCs/>
          <w:color w:val="00000A"/>
          <w:sz w:val="18"/>
          <w:szCs w:val="18"/>
        </w:rPr>
        <w:t>26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8928FC">
        <w:rPr>
          <w:rFonts w:ascii="Arial" w:hAnsi="Arial" w:cs="Arial"/>
          <w:b/>
          <w:bCs/>
          <w:color w:val="00000A"/>
          <w:sz w:val="18"/>
          <w:szCs w:val="18"/>
        </w:rPr>
        <w:t>8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b/>
          <w:bCs/>
          <w:color w:val="00000A"/>
          <w:sz w:val="18"/>
          <w:szCs w:val="18"/>
        </w:rPr>
        <w:t>/BZP 00</w:t>
      </w:r>
      <w:r w:rsidR="008928FC">
        <w:rPr>
          <w:rFonts w:ascii="Arial" w:hAnsi="Arial" w:cs="Arial"/>
          <w:b/>
          <w:bCs/>
          <w:color w:val="00000A"/>
          <w:sz w:val="18"/>
          <w:szCs w:val="18"/>
        </w:rPr>
        <w:t>321354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>
        <w:rPr>
          <w:rFonts w:ascii="Arial" w:hAnsi="Arial" w:cs="Arial"/>
          <w:color w:val="00000A"/>
          <w:sz w:val="18"/>
          <w:szCs w:val="18"/>
        </w:rPr>
        <w:t>oraz</w:t>
      </w:r>
      <w:r w:rsidR="007E6E0E"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30BD6436" w14:textId="77777777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odpowiedzi na przesłane przez Wykonawców zapytania, dotyczące treści </w:t>
      </w:r>
      <w:proofErr w:type="spellStart"/>
      <w:r>
        <w:rPr>
          <w:rFonts w:ascii="Arial" w:hAnsi="Arial" w:cs="Arial"/>
          <w:color w:val="00000A"/>
          <w:sz w:val="18"/>
          <w:szCs w:val="18"/>
        </w:rPr>
        <w:t>swz</w:t>
      </w:r>
      <w:proofErr w:type="spellEnd"/>
      <w:r>
        <w:rPr>
          <w:rFonts w:ascii="Arial" w:hAnsi="Arial" w:cs="Arial"/>
          <w:color w:val="00000A"/>
          <w:sz w:val="18"/>
          <w:szCs w:val="18"/>
        </w:rPr>
        <w:t>:</w:t>
      </w:r>
    </w:p>
    <w:tbl>
      <w:tblPr>
        <w:tblW w:w="9141" w:type="dxa"/>
        <w:tblInd w:w="-7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4"/>
        <w:gridCol w:w="5569"/>
        <w:gridCol w:w="3118"/>
      </w:tblGrid>
      <w:tr w:rsidR="001D55A5" w14:paraId="084164E6" w14:textId="77777777" w:rsidTr="00D65562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A3006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502A" w14:textId="77777777" w:rsidR="001D55A5" w:rsidRPr="00156F5A" w:rsidRDefault="001D55A5" w:rsidP="007E6E0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F5A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2A02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406A09" w:rsidRPr="00891656" w14:paraId="32B1DCF3" w14:textId="77777777" w:rsidTr="00D65562">
        <w:trPr>
          <w:trHeight w:val="79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D03" w14:textId="4ACD2386" w:rsidR="00406A09" w:rsidRPr="00891656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11B4" w14:textId="5A6BC2D3" w:rsidR="00406A09" w:rsidRPr="00891656" w:rsidRDefault="00296A1D" w:rsidP="005E680E">
            <w:pPr>
              <w:rPr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Czy Zamawiający wyrazi zgodę na przedstawienie oferty na leki w innych niż przedstawiono w SWZ</w:t>
            </w:r>
            <w:r w:rsidR="00891656">
              <w:t xml:space="preserve"> </w:t>
            </w: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wielkościach opakowań, z zachowaniem odpowiedniego przeliczenia wycenianej ilości:</w:t>
            </w:r>
            <w:r w:rsidRPr="00891656">
              <w:rPr>
                <w:sz w:val="18"/>
                <w:szCs w:val="18"/>
              </w:rPr>
              <w:br/>
            </w: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P23 – proponujemy opakowanie 112 tabl. zamiast 56 tabl.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746" w14:textId="26E7A69D" w:rsidR="00406A09" w:rsidRPr="00891656" w:rsidRDefault="00797E57" w:rsidP="00891656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891656">
              <w:rPr>
                <w:rFonts w:ascii="Arial" w:hAnsi="Arial" w:cs="Arial"/>
                <w:sz w:val="18"/>
                <w:szCs w:val="18"/>
              </w:rPr>
              <w:t>Tak.</w:t>
            </w:r>
          </w:p>
        </w:tc>
      </w:tr>
      <w:tr w:rsidR="00296A1D" w:rsidRPr="00891656" w14:paraId="222C0BA9" w14:textId="77777777" w:rsidTr="00D65562">
        <w:trPr>
          <w:trHeight w:val="52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FA829" w14:textId="0EC82797" w:rsidR="00296A1D" w:rsidRPr="00891656" w:rsidRDefault="00296A1D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1E8F" w14:textId="44F99EDE" w:rsidR="00296A1D" w:rsidRPr="00891656" w:rsidRDefault="00296A1D" w:rsidP="005E680E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Jak należałoby dokonać przeliczenia: pozostawiając 2 miejsca po przecinku czy też zaokrąglając w</w:t>
            </w:r>
            <w:r w:rsidR="00E343E7">
              <w:t xml:space="preserve"> </w:t>
            </w: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górę/ dół do pełnego opakowania.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842EA" w14:textId="4D5A6ED3" w:rsidR="00296A1D" w:rsidRPr="00891656" w:rsidRDefault="00F81691" w:rsidP="00F8169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W górę do pełnego opakowania.</w:t>
            </w:r>
          </w:p>
        </w:tc>
      </w:tr>
      <w:tr w:rsidR="003F1983" w:rsidRPr="00891656" w14:paraId="276DEE58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3996" w14:textId="494A8E1D" w:rsidR="003F1983" w:rsidRPr="00891656" w:rsidRDefault="003F198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17D2" w14:textId="64AD9C21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Dotyczy pak. 10 poz. 1</w:t>
            </w:r>
          </w:p>
          <w:p w14:paraId="6527A88E" w14:textId="77777777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do wyceny:</w:t>
            </w:r>
          </w:p>
          <w:p w14:paraId="0C511EC4" w14:textId="3D7A448D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proofErr w:type="spellStart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Vigantoletten</w:t>
            </w:r>
            <w:proofErr w:type="spellEnd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1000, 1000 j.m., tabl., 90 </w:t>
            </w:r>
            <w:proofErr w:type="spellStart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w ilości 167 op. 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EE91" w14:textId="3AF50FB2" w:rsidR="003F1983" w:rsidRPr="00891656" w:rsidRDefault="00F81691" w:rsidP="00F8169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>Tak.</w:t>
            </w:r>
          </w:p>
        </w:tc>
      </w:tr>
      <w:tr w:rsidR="003F1983" w:rsidRPr="00891656" w14:paraId="5BD41E0F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D140C" w14:textId="4C3ACB98" w:rsidR="003F1983" w:rsidRPr="00891656" w:rsidRDefault="003F198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FBB28" w14:textId="7B6648DF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Dotyczy pak. 16 poz. 11</w:t>
            </w:r>
          </w:p>
          <w:p w14:paraId="17FBCC3E" w14:textId="77777777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do wyceny:</w:t>
            </w:r>
          </w:p>
          <w:p w14:paraId="31D730C7" w14:textId="77777777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proofErr w:type="spellStart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Pentasa</w:t>
            </w:r>
            <w:proofErr w:type="spellEnd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, (1 g/100 ml), </w:t>
            </w:r>
            <w:proofErr w:type="spellStart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zaw.doodbytn</w:t>
            </w:r>
            <w:proofErr w:type="spellEnd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., 7 but. ? </w:t>
            </w:r>
          </w:p>
          <w:p w14:paraId="5076EB79" w14:textId="27771C5C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Brak opakowania 10 ml 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55FF" w14:textId="105F70E1" w:rsidR="003F1983" w:rsidRPr="00891656" w:rsidRDefault="00F81691" w:rsidP="00F8169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>Tak.</w:t>
            </w:r>
          </w:p>
        </w:tc>
      </w:tr>
      <w:tr w:rsidR="003F1983" w:rsidRPr="00891656" w14:paraId="663E8E7D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77A00" w14:textId="06A176FD" w:rsidR="003F1983" w:rsidRPr="00891656" w:rsidRDefault="003F198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E71B1" w14:textId="6C0CB5B6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Dotyczy pak. 3 poz. 34</w:t>
            </w:r>
          </w:p>
          <w:p w14:paraId="64CC87AA" w14:textId="77777777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do wyceny:</w:t>
            </w:r>
          </w:p>
          <w:p w14:paraId="50501EF3" w14:textId="157D61F9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proofErr w:type="spellStart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Etomidate-Lipuro</w:t>
            </w:r>
            <w:proofErr w:type="spellEnd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, 2 mg/ml; 10 ml, </w:t>
            </w:r>
            <w:proofErr w:type="spellStart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emuls.do</w:t>
            </w:r>
            <w:proofErr w:type="spellEnd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wstrz.,10 </w:t>
            </w:r>
            <w:proofErr w:type="spellStart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amp</w:t>
            </w:r>
            <w:proofErr w:type="spellEnd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w ilości 30 op. 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03F06" w14:textId="5E6404B2" w:rsidR="003F1983" w:rsidRPr="00891656" w:rsidRDefault="00F81691" w:rsidP="00F8169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>Tak.</w:t>
            </w:r>
          </w:p>
        </w:tc>
      </w:tr>
      <w:tr w:rsidR="003F1983" w:rsidRPr="00891656" w14:paraId="0A1B02E4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7E5AE" w14:textId="7B5E898B" w:rsidR="003F1983" w:rsidRPr="00891656" w:rsidRDefault="003F198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6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BB0F1" w14:textId="5892B1E0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Dotyczy pak. 18 poz. 13 </w:t>
            </w:r>
          </w:p>
          <w:p w14:paraId="17500BA8" w14:textId="77777777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do wyceny Benzyna apteczna, płyn, 1000 ml , kat. rejestracji : pozostałe /</w:t>
            </w:r>
            <w:proofErr w:type="spellStart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sub</w:t>
            </w:r>
            <w:proofErr w:type="spellEnd"/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. niebezpieczne )? </w:t>
            </w:r>
          </w:p>
          <w:p w14:paraId="1A02F045" w14:textId="74DBFA7A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Brak preparatu o kat. rejestracji : produkt leczniczy.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5969" w14:textId="3E151075" w:rsidR="003F1983" w:rsidRPr="00891656" w:rsidRDefault="00F81691" w:rsidP="00F8169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>Tak.</w:t>
            </w:r>
          </w:p>
        </w:tc>
      </w:tr>
      <w:tr w:rsidR="003F1983" w:rsidRPr="00891656" w14:paraId="741C32D5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A5332" w14:textId="78D70432" w:rsidR="003F1983" w:rsidRPr="00891656" w:rsidRDefault="003F198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7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6E6D9" w14:textId="4D5B0D00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Bardzo proszę o doprecyzowanie zapisu SWZ :</w:t>
            </w:r>
          </w:p>
          <w:p w14:paraId="1522C915" w14:textId="77777777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„ w przypadku leku występującego w różnych dawkach , wymagany jeden Producent” </w:t>
            </w:r>
          </w:p>
          <w:p w14:paraId="1BE6ACB6" w14:textId="7288F196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Czy Zamawiający dopuszcza, aby preparaty o tej samej nazwie międzynarodowej w ramach  danego pakietu oraz danej postaci pochodziły od jednego Producenta?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8C38" w14:textId="7AB9CD53" w:rsidR="003F1983" w:rsidRPr="00891656" w:rsidRDefault="00833881" w:rsidP="0083388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 dopuszczamy.</w:t>
            </w:r>
          </w:p>
        </w:tc>
      </w:tr>
      <w:tr w:rsidR="003F1983" w:rsidRPr="00891656" w14:paraId="0E8E4897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4B3DE" w14:textId="57299538" w:rsidR="003F1983" w:rsidRPr="00891656" w:rsidRDefault="003F198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8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D6D30" w14:textId="15CD0719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Czy Zamawiający wyraża zgodę na wycenę preparatów w opakowaniach innej wielkości niż określona w formularzu asortymentowym ?</w:t>
            </w:r>
          </w:p>
          <w:p w14:paraId="5562858E" w14:textId="77777777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W przypadku zgody proszę wskazać sposób przeliczenia :</w:t>
            </w:r>
          </w:p>
          <w:p w14:paraId="3FAA7E7D" w14:textId="77777777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•</w:t>
            </w: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ab/>
              <w:t xml:space="preserve">podawać pełne ilości opakowań zaokrąglone w górę,  </w:t>
            </w:r>
          </w:p>
          <w:p w14:paraId="2BB50E7C" w14:textId="0AC35C74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•</w:t>
            </w: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ab/>
              <w:t>ilość opakowań przeliczyć do dwóch miejsc po przecinku ( zaokrąglenie zgodne z regułą matematyczną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85C9" w14:textId="6DEC629F" w:rsidR="003F1983" w:rsidRPr="00891656" w:rsidRDefault="00F81691" w:rsidP="0083388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Tak.</w:t>
            </w:r>
            <w:r w:rsidR="00833881">
              <w:rPr>
                <w:rFonts w:ascii="Arial" w:hAnsi="Arial" w:cs="Arial"/>
                <w:sz w:val="18"/>
                <w:szCs w:val="18"/>
              </w:rPr>
              <w:t xml:space="preserve">      Prosimy podawać pełne opakowania      zaokrąglone w górę.</w:t>
            </w:r>
          </w:p>
        </w:tc>
      </w:tr>
      <w:tr w:rsidR="003F1983" w:rsidRPr="00891656" w14:paraId="225CA4C3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7D209" w14:textId="714E7103" w:rsidR="003F1983" w:rsidRPr="00891656" w:rsidRDefault="003F198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9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17445" w14:textId="0D37A38E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Czy Zamawiający dopuści do wyceny lek równoważny pod względem składu chemicznego i dawki, lecz różniący się postacią przy zachowaniu tej samej drogi podania np. tabletka a równoważnik ma postać  tabletki powlekanej , kapsułki ( twarde, miękkie), drażetki, tabletki dojelitowe i odwrotnie  ?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3C1B" w14:textId="6B8698E4" w:rsidR="003F1983" w:rsidRPr="00891656" w:rsidRDefault="00833881" w:rsidP="0083388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8"/>
              </w:rPr>
              <w:t>Tak, dopuszczamy.</w:t>
            </w:r>
          </w:p>
        </w:tc>
      </w:tr>
      <w:tr w:rsidR="003F1983" w:rsidRPr="00891656" w14:paraId="59D1BC1A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99B33" w14:textId="0D226B27" w:rsidR="003F1983" w:rsidRPr="00891656" w:rsidRDefault="003F198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2BF0F" w14:textId="77777777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zmianę :</w:t>
            </w:r>
          </w:p>
          <w:p w14:paraId="7743F380" w14:textId="453CD0EA" w:rsidR="003F1983" w:rsidRPr="00891656" w:rsidRDefault="003F1983" w:rsidP="003F1983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tabletki/kapsułki/ tabletki powlekane o przedłużonym uwalnianiu na</w:t>
            </w:r>
            <w:r w:rsidR="008D2EE5"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891656">
              <w:rPr>
                <w:rStyle w:val="markedcontent"/>
                <w:rFonts w:ascii="Arial" w:hAnsi="Arial" w:cs="Arial"/>
                <w:sz w:val="18"/>
                <w:szCs w:val="18"/>
              </w:rPr>
              <w:t>tabletki/kapsułki/tabletki powlekane o zmodyfikowanym uwalnianiu i odwrotnie?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7EFF" w14:textId="388E7C41" w:rsidR="003F1983" w:rsidRPr="00891656" w:rsidRDefault="00833881" w:rsidP="0083388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sz w:val="18"/>
                <w:szCs w:val="18"/>
              </w:rPr>
              <w:t>Tak, dopuszczamy.</w:t>
            </w:r>
          </w:p>
        </w:tc>
      </w:tr>
      <w:tr w:rsidR="00752A5D" w:rsidRPr="00891656" w14:paraId="0ACCE509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670E4" w14:textId="2CA3D95A" w:rsidR="00752A5D" w:rsidRPr="00891656" w:rsidRDefault="00752A5D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11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5A23C" w14:textId="0A704E8B" w:rsidR="00752A5D" w:rsidRPr="00833881" w:rsidRDefault="00752A5D" w:rsidP="00833881">
            <w:pPr>
              <w:suppressAutoHyphens w:val="0"/>
              <w:rPr>
                <w:rStyle w:val="markedcontent"/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916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 §4 ust. 5 wzoru umowy: W związku z tym, że czynność prawna dokonana przez strony nie może skutkować wyłączeniem ze stosowania bezwzględnie obowiązujących przepisów prawa, a takim jest art. 552 Kodeksu Cywilnego uprawniający Sprzedawcę do wstrzymania dostaw w przypadku gdy Kupujący dopuszcza się zwłoki z dokonaniem zapłaty za dostarczoną część zamówienia, </w:t>
            </w:r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i </w:t>
            </w:r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do decyzji wierzyciela należy określenie czy wstrzymanie dostaw dokonane zostanie natychmiast czy dopiero po upływie określonego przedziału czasowego, </w:t>
            </w:r>
            <w:r w:rsidRPr="00891656">
              <w:rPr>
                <w:rFonts w:ascii="Arial" w:hAnsi="Arial" w:cs="Arial"/>
                <w:sz w:val="18"/>
                <w:szCs w:val="18"/>
                <w:lang w:eastAsia="en-US"/>
              </w:rPr>
              <w:t>prosimy o usunięcie z wzoru umowy odpowiednich postanowień §4 ust. 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E7B5" w14:textId="26BD3A9F" w:rsidR="00833881" w:rsidRDefault="00833881" w:rsidP="0083388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Nie zmieniamy zapisu </w:t>
            </w:r>
          </w:p>
          <w:p w14:paraId="2C1DB59C" w14:textId="4EF53C77" w:rsidR="00752A5D" w:rsidRPr="00891656" w:rsidRDefault="00833881" w:rsidP="0083388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w projekcie umowy.</w:t>
            </w:r>
          </w:p>
        </w:tc>
      </w:tr>
      <w:tr w:rsidR="00752A5D" w:rsidRPr="00891656" w14:paraId="020BC546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BF4D" w14:textId="3839367A" w:rsidR="00752A5D" w:rsidRPr="00891656" w:rsidRDefault="00752A5D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12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ED3C7" w14:textId="2282AE95" w:rsidR="00752A5D" w:rsidRPr="00833881" w:rsidRDefault="00752A5D" w:rsidP="00833881">
            <w:pPr>
              <w:suppressAutoHyphens w:val="0"/>
              <w:rPr>
                <w:rStyle w:val="markedcontent"/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916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 §5 ust.8 projektu umowy. Czy Zamawiający wyrazi zgodę na wydłużenie czasu dostawy leków „na ratunek” do 12 godzin od złożenia zamówienia?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34DC" w14:textId="216B0A9B" w:rsidR="00752A5D" w:rsidRPr="00891656" w:rsidRDefault="00833881" w:rsidP="00833881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Tak. </w:t>
            </w:r>
          </w:p>
        </w:tc>
      </w:tr>
      <w:tr w:rsidR="00752A5D" w:rsidRPr="00891656" w14:paraId="769EA84F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CF008" w14:textId="405A3504" w:rsidR="00752A5D" w:rsidRPr="00891656" w:rsidRDefault="00752A5D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13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53D2" w14:textId="269328E3" w:rsidR="00752A5D" w:rsidRPr="00891656" w:rsidRDefault="00752A5D" w:rsidP="00891656">
            <w:pPr>
              <w:suppressAutoHyphens w:val="0"/>
              <w:rPr>
                <w:rStyle w:val="markedcontent"/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916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 §6 ust. </w:t>
            </w:r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</w:t>
            </w:r>
            <w:r w:rsidRPr="008916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wzoru umowy: </w:t>
            </w:r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Czy Zamawiający wyrazi zgodę na zmianę §6 ust. 9 zdanie ostatnie wzoru umowy o treści: „Wszystkimi kosztami wynikającymi z „dostawy zastępczej” (cena zakupu plus koszty transportu/przesyłki do Zamawiającego) zostanie obciążony Wykonawca. ” na zdanie następujące: „Różnicą w cenie zakupu interwencyjnego partii asortymentu, którego dotyczy zwłoka, Kupujący obciąży Sprzedawcę” Wykonawca wyjaśnia, że wyżej wskazane postanowienie pozostaje niezgodne z przepisami prawa, z utrwaloną doktryną i judykaturą. Zamawiający zastrzega sobie bowiem prawo do obciążenia Sprzedawcy pełnymi kosztami zakupu interwencyjnego, co w konsekwencji prowadzi do wypaczenia jego ustawowego uprawnienia. Przepis art. 479 k.c. uprawnia wierzyciela, w razie zwłoki dłużnika do nabycia na jego rzecz rzeczy tego samego gatunku, jednak z zastrzeżeniem, że „wierzyciel może żądać zwrotu kosztów nabycia zastępczego od dłużnika, a zarazem nie jest uprawniony do zapłaty dłużnikowi swojego świadczenia, prowadziłby do niesłusznego wzbogacenia tego wierzyciela.” (Kodeks cywilny, Komentarz, J.M. Kondek, red. K. </w:t>
            </w:r>
            <w:proofErr w:type="spellStart"/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Osajda</w:t>
            </w:r>
            <w:proofErr w:type="spellEnd"/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, 2021 r.). Powyższe konsekwentnie potwierdza judykatura- Sąd Apelacyjny w wyroku z dnia 5 sierpnia 2016 r., sygn. akt: I </w:t>
            </w:r>
            <w:proofErr w:type="spellStart"/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ACa</w:t>
            </w:r>
            <w:proofErr w:type="spellEnd"/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322/16 wskazał, że: „Jeżeli nabycie rzeczy wynika z umowy wzajemnej, to po zrealizowaniu go przez wierzyciela, obowiązek dłużnika dotyczy kosztów nabycia, pomniejszonych o cenę, do której uregulowania zobowiązany byłby wierzyciel. Sąd Apelacyjny w Krakowie w kolejnym wyroku podsumował, że „Roszczenie o zapłatę kosztów, o jakich mowa w art. 479 KC, ma charakter odszkodowawczy. Odliczenie zaś od kosztów zakupu zastępczego ceny uzgodnionej między stronami stanowi uwzględnienie zasady </w:t>
            </w:r>
            <w:proofErr w:type="spellStart"/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compensatio</w:t>
            </w:r>
            <w:proofErr w:type="spellEnd"/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lucri</w:t>
            </w:r>
            <w:proofErr w:type="spellEnd"/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cum damno, gdyż stanowi uwzględnienie tego, co wierzyciel zaoszczędził nie świadcząc stronie pozwanej.” (wyrok z dnia 19 lutego 2020 r., sygn. akt: I </w:t>
            </w:r>
            <w:proofErr w:type="spellStart"/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AGa</w:t>
            </w:r>
            <w:proofErr w:type="spellEnd"/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29/19). Mając na uwadze powyższe, w celu wyeliminowania ryzyka nieważności (z uwagi na wprowadzenie do umowy niezgodnego z przepisami prawa postanowienia), Wykonawca zwraca się z wnioskiem o zmianę ww. zapisu jak powyżej.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C4A4" w14:textId="77777777" w:rsidR="00D65562" w:rsidRDefault="00D65562" w:rsidP="00D65562">
            <w:pPr>
              <w:snapToGrid w:val="0"/>
              <w:spacing w:line="288" w:lineRule="auto"/>
              <w:ind w:left="-1343" w:right="643" w:firstLine="5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zmieniamy zapisu </w:t>
            </w:r>
          </w:p>
          <w:p w14:paraId="7CB99539" w14:textId="6BA9BC04" w:rsidR="00752A5D" w:rsidRPr="00891656" w:rsidRDefault="00D65562" w:rsidP="00D65562">
            <w:pPr>
              <w:snapToGrid w:val="0"/>
              <w:spacing w:line="288" w:lineRule="auto"/>
              <w:ind w:left="-1343" w:right="643" w:firstLine="5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w projekcie umowy.</w:t>
            </w:r>
          </w:p>
        </w:tc>
      </w:tr>
      <w:tr w:rsidR="00752A5D" w:rsidRPr="00891656" w14:paraId="01403758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F2976" w14:textId="361E4588" w:rsidR="00752A5D" w:rsidRPr="00891656" w:rsidRDefault="00752A5D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14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67C8A" w14:textId="049FB210" w:rsidR="00752A5D" w:rsidRPr="00891656" w:rsidRDefault="00752A5D" w:rsidP="00752A5D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91656">
              <w:rPr>
                <w:rFonts w:ascii="Arial" w:hAnsi="Arial" w:cs="Arial"/>
                <w:sz w:val="18"/>
                <w:szCs w:val="18"/>
                <w:lang w:eastAsia="en-US"/>
              </w:rPr>
              <w:t>Do §6 ust. 1</w:t>
            </w:r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Pr="008916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wzoru umowy: </w:t>
            </w:r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Czy Zamawiający zrezygnuje z postanowienia zamieszczonego w §6 ust. 10 wzoru umowy, zgodnie z którym: „W przypadku niedotrzymania terminu płatności, Wykonawca może naliczyć wyłącznie odsetki ustawowe za opóźnienie.”?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23C2" w14:textId="77777777" w:rsidR="00936EC6" w:rsidRDefault="00936EC6" w:rsidP="00936EC6">
            <w:pPr>
              <w:snapToGrid w:val="0"/>
              <w:spacing w:line="288" w:lineRule="auto"/>
              <w:ind w:left="-1343" w:right="643" w:firstLine="5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zmieniamy zapisu </w:t>
            </w:r>
          </w:p>
          <w:p w14:paraId="5744B0D1" w14:textId="0B843146" w:rsidR="00752A5D" w:rsidRPr="00891656" w:rsidRDefault="00936EC6" w:rsidP="00936EC6">
            <w:pPr>
              <w:snapToGrid w:val="0"/>
              <w:spacing w:line="288" w:lineRule="auto"/>
              <w:ind w:left="-1343" w:right="643" w:firstLine="5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w projekcie umowy.</w:t>
            </w:r>
          </w:p>
        </w:tc>
      </w:tr>
      <w:tr w:rsidR="00752A5D" w:rsidRPr="00891656" w14:paraId="5354F9E4" w14:textId="77777777" w:rsidTr="00D65562">
        <w:trPr>
          <w:trHeight w:val="4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E71B0" w14:textId="679E7870" w:rsidR="00752A5D" w:rsidRPr="00891656" w:rsidRDefault="00752A5D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15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C33BF" w14:textId="3F256A37" w:rsidR="00752A5D" w:rsidRPr="00891656" w:rsidRDefault="00752A5D" w:rsidP="00752A5D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Do §7 ust.2 pkt g) prosimy o dopisanie:”… o okres 3 miesięcy”.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11C1" w14:textId="77777777" w:rsidR="00936EC6" w:rsidRDefault="00936EC6" w:rsidP="00936EC6">
            <w:pPr>
              <w:snapToGrid w:val="0"/>
              <w:spacing w:line="288" w:lineRule="auto"/>
              <w:ind w:left="-1343" w:right="643" w:firstLine="5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zmieniamy zapisu </w:t>
            </w:r>
          </w:p>
          <w:p w14:paraId="3B29F2D0" w14:textId="62519DFC" w:rsidR="00752A5D" w:rsidRPr="00891656" w:rsidRDefault="00936EC6" w:rsidP="00936EC6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sz w:val="18"/>
                <w:szCs w:val="18"/>
              </w:rPr>
              <w:t>w projekcie umowy.</w:t>
            </w:r>
          </w:p>
        </w:tc>
      </w:tr>
      <w:tr w:rsidR="00752A5D" w:rsidRPr="00891656" w14:paraId="5793F63F" w14:textId="77777777" w:rsidTr="00D65562">
        <w:trPr>
          <w:trHeight w:val="7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F87DA" w14:textId="4E941060" w:rsidR="00752A5D" w:rsidRPr="00891656" w:rsidRDefault="00752A5D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91656">
              <w:rPr>
                <w:rFonts w:ascii="Arial" w:hAnsi="Arial" w:cs="Arial"/>
                <w:color w:val="00000A"/>
                <w:sz w:val="18"/>
                <w:szCs w:val="18"/>
              </w:rPr>
              <w:t>16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A670" w14:textId="3C17B66B" w:rsidR="00752A5D" w:rsidRPr="00891656" w:rsidRDefault="00752A5D" w:rsidP="00752A5D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9165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Czy Zamawiający wyrazi zgodę na usunięcie postanowienia umownego wskazanego w § 7 ust.10 Wzoru Umowy, mając na uwadze, że na podstawie art. 433 pkt 4 w zw. art. 99 ust.1 PZP powyższy zapis należy uznać jako postanowienie abuzywne,  które nie może być wprowadzane do umowy w sprawie zamówienia publicznego, a nadto stanowi zakazaną  praktykę na podstawie art. 9 ust. 2 ustawy o ochronie konkurencji i konsumentów, co w konsekwencji obarcza czynność prawną sankcją nieważności.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A5B5" w14:textId="77777777" w:rsidR="00936EC6" w:rsidRDefault="00936EC6" w:rsidP="00936EC6">
            <w:pPr>
              <w:snapToGrid w:val="0"/>
              <w:spacing w:line="288" w:lineRule="auto"/>
              <w:ind w:left="-1343" w:right="643" w:firstLine="5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zmieniamy zapisu </w:t>
            </w:r>
          </w:p>
          <w:p w14:paraId="20DCF446" w14:textId="70BB33D0" w:rsidR="00752A5D" w:rsidRPr="00891656" w:rsidRDefault="00936EC6" w:rsidP="00936EC6">
            <w:pPr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>w projekcie umowy.</w:t>
            </w:r>
          </w:p>
        </w:tc>
      </w:tr>
    </w:tbl>
    <w:p w14:paraId="103DA735" w14:textId="1DDD3F96" w:rsidR="001D55A5" w:rsidRPr="00891656" w:rsidRDefault="001D55A5">
      <w:pPr>
        <w:rPr>
          <w:rFonts w:ascii="Arial" w:hAnsi="Arial" w:cs="Arial"/>
          <w:i/>
          <w:sz w:val="18"/>
          <w:szCs w:val="18"/>
        </w:rPr>
      </w:pPr>
    </w:p>
    <w:p w14:paraId="284467B5" w14:textId="77777777" w:rsidR="001D55A5" w:rsidRPr="00891656" w:rsidRDefault="001D55A5">
      <w:pPr>
        <w:rPr>
          <w:rFonts w:ascii="Arial" w:hAnsi="Arial" w:cs="Arial"/>
          <w:i/>
          <w:sz w:val="18"/>
          <w:szCs w:val="18"/>
        </w:rPr>
      </w:pPr>
    </w:p>
    <w:p w14:paraId="3E4C6829" w14:textId="77777777" w:rsidR="003751B9" w:rsidRPr="00891656" w:rsidRDefault="003751B9" w:rsidP="003751B9">
      <w:pPr>
        <w:rPr>
          <w:rFonts w:ascii="Arial" w:hAnsi="Arial" w:cs="Arial"/>
          <w:i/>
          <w:sz w:val="18"/>
          <w:szCs w:val="18"/>
        </w:rPr>
      </w:pPr>
      <w:r w:rsidRPr="00891656"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 w:rsidRPr="00891656">
        <w:rPr>
          <w:rFonts w:ascii="Arial" w:hAnsi="Arial" w:cs="Arial"/>
          <w:i/>
          <w:sz w:val="18"/>
          <w:szCs w:val="18"/>
        </w:rPr>
        <w:t>SSzW</w:t>
      </w:r>
      <w:proofErr w:type="spellEnd"/>
      <w:r w:rsidRPr="00891656"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1444D306" w14:textId="77777777" w:rsidR="003751B9" w:rsidRPr="00891656" w:rsidRDefault="003751B9" w:rsidP="003751B9">
      <w:pPr>
        <w:rPr>
          <w:rFonts w:ascii="Arial" w:hAnsi="Arial" w:cs="Arial"/>
          <w:i/>
          <w:sz w:val="18"/>
          <w:szCs w:val="18"/>
        </w:rPr>
      </w:pPr>
      <w:r w:rsidRPr="00891656">
        <w:rPr>
          <w:rFonts w:ascii="Arial" w:hAnsi="Arial" w:cs="Arial"/>
          <w:i/>
          <w:sz w:val="18"/>
          <w:szCs w:val="18"/>
        </w:rPr>
        <w:t>Andrzej Juliusz Kamasa</w:t>
      </w:r>
    </w:p>
    <w:p w14:paraId="634B6138" w14:textId="2C5B52DF" w:rsidR="001D55A5" w:rsidRPr="00891656" w:rsidRDefault="001D55A5">
      <w:pPr>
        <w:rPr>
          <w:rFonts w:ascii="Arial" w:hAnsi="Arial" w:cs="Arial"/>
          <w:i/>
          <w:sz w:val="18"/>
          <w:szCs w:val="18"/>
        </w:rPr>
      </w:pPr>
    </w:p>
    <w:p w14:paraId="468711C6" w14:textId="46C1ADD3" w:rsidR="003E22FC" w:rsidRPr="00891656" w:rsidRDefault="003E22FC">
      <w:pPr>
        <w:rPr>
          <w:rFonts w:ascii="Arial" w:hAnsi="Arial" w:cs="Arial"/>
          <w:i/>
          <w:sz w:val="18"/>
          <w:szCs w:val="18"/>
        </w:rPr>
      </w:pPr>
    </w:p>
    <w:sectPr w:rsidR="003E22FC" w:rsidRPr="00891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F34"/>
    <w:multiLevelType w:val="hybridMultilevel"/>
    <w:tmpl w:val="B246D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5BAC"/>
    <w:multiLevelType w:val="hybridMultilevel"/>
    <w:tmpl w:val="30DE2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AEF"/>
    <w:multiLevelType w:val="hybridMultilevel"/>
    <w:tmpl w:val="9AB49788"/>
    <w:lvl w:ilvl="0" w:tplc="AFDE4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631F"/>
    <w:multiLevelType w:val="hybridMultilevel"/>
    <w:tmpl w:val="B0CCF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4AEB"/>
    <w:multiLevelType w:val="hybridMultilevel"/>
    <w:tmpl w:val="A9FE0F62"/>
    <w:lvl w:ilvl="0" w:tplc="B44EB65E">
      <w:start w:val="1"/>
      <w:numFmt w:val="upperRoman"/>
      <w:lvlText w:val="%1."/>
      <w:lvlJc w:val="left"/>
      <w:pPr>
        <w:ind w:left="8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5EFE0386"/>
    <w:multiLevelType w:val="hybridMultilevel"/>
    <w:tmpl w:val="D6F8669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84745"/>
    <w:multiLevelType w:val="hybridMultilevel"/>
    <w:tmpl w:val="EEF6F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12327"/>
    <w:multiLevelType w:val="hybridMultilevel"/>
    <w:tmpl w:val="8612DFBC"/>
    <w:lvl w:ilvl="0" w:tplc="DB502B6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07C82"/>
    <w:multiLevelType w:val="hybridMultilevel"/>
    <w:tmpl w:val="C6C4C9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7694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748992">
    <w:abstractNumId w:val="8"/>
  </w:num>
  <w:num w:numId="3" w16cid:durableId="1714962665">
    <w:abstractNumId w:val="5"/>
  </w:num>
  <w:num w:numId="4" w16cid:durableId="449402812">
    <w:abstractNumId w:val="4"/>
  </w:num>
  <w:num w:numId="5" w16cid:durableId="1608584651">
    <w:abstractNumId w:val="3"/>
  </w:num>
  <w:num w:numId="6" w16cid:durableId="1412004946">
    <w:abstractNumId w:val="6"/>
  </w:num>
  <w:num w:numId="7" w16cid:durableId="1909223570">
    <w:abstractNumId w:val="1"/>
  </w:num>
  <w:num w:numId="8" w16cid:durableId="2119834406">
    <w:abstractNumId w:val="2"/>
  </w:num>
  <w:num w:numId="9" w16cid:durableId="228611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B"/>
    <w:rsid w:val="00013DB0"/>
    <w:rsid w:val="00045C23"/>
    <w:rsid w:val="00081AB8"/>
    <w:rsid w:val="000F0811"/>
    <w:rsid w:val="00156F5A"/>
    <w:rsid w:val="00172CDD"/>
    <w:rsid w:val="001D55A5"/>
    <w:rsid w:val="00296A1D"/>
    <w:rsid w:val="002D1159"/>
    <w:rsid w:val="003751B9"/>
    <w:rsid w:val="003E22FC"/>
    <w:rsid w:val="003F1983"/>
    <w:rsid w:val="00406A09"/>
    <w:rsid w:val="00436E4C"/>
    <w:rsid w:val="005A45BF"/>
    <w:rsid w:val="005D629F"/>
    <w:rsid w:val="005E680E"/>
    <w:rsid w:val="005F7DD8"/>
    <w:rsid w:val="00602709"/>
    <w:rsid w:val="006D3037"/>
    <w:rsid w:val="006D6A98"/>
    <w:rsid w:val="006E4BE5"/>
    <w:rsid w:val="007003A6"/>
    <w:rsid w:val="00702793"/>
    <w:rsid w:val="0070494B"/>
    <w:rsid w:val="00752A5D"/>
    <w:rsid w:val="00797E57"/>
    <w:rsid w:val="007E6E0E"/>
    <w:rsid w:val="0080589B"/>
    <w:rsid w:val="00833881"/>
    <w:rsid w:val="008551FF"/>
    <w:rsid w:val="00891656"/>
    <w:rsid w:val="008928FC"/>
    <w:rsid w:val="008D2EE5"/>
    <w:rsid w:val="00936EC6"/>
    <w:rsid w:val="009E6CF9"/>
    <w:rsid w:val="00B4029E"/>
    <w:rsid w:val="00B90AAD"/>
    <w:rsid w:val="00B937D5"/>
    <w:rsid w:val="00B947E4"/>
    <w:rsid w:val="00BB1BD4"/>
    <w:rsid w:val="00D65562"/>
    <w:rsid w:val="00DA12C9"/>
    <w:rsid w:val="00DE5D84"/>
    <w:rsid w:val="00E343E7"/>
    <w:rsid w:val="00E5407B"/>
    <w:rsid w:val="00ED1124"/>
    <w:rsid w:val="00EF1997"/>
    <w:rsid w:val="00F81691"/>
    <w:rsid w:val="00FB2DA7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522324"/>
  <w15:chartTrackingRefBased/>
  <w15:docId w15:val="{08C4BD96-FE0C-4EE8-B396-B65EE53C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markedcontent">
    <w:name w:val="markedcontent"/>
    <w:basedOn w:val="Domylnaczcionkaakapitu2"/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suppressAutoHyphens/>
      <w:snapToGrid w:val="0"/>
    </w:pPr>
    <w:rPr>
      <w:sz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Links>
    <vt:vector size="6" baseType="variant"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Katarzyna Jakimiec</cp:lastModifiedBy>
  <cp:revision>40</cp:revision>
  <cp:lastPrinted>2022-02-14T11:23:00Z</cp:lastPrinted>
  <dcterms:created xsi:type="dcterms:W3CDTF">2021-12-17T12:25:00Z</dcterms:created>
  <dcterms:modified xsi:type="dcterms:W3CDTF">2022-09-01T11:48:00Z</dcterms:modified>
</cp:coreProperties>
</file>