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BD994A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3148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116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394952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</w:p>
    <w:p w14:paraId="57265594" w14:textId="77777777" w:rsidR="00C8737F" w:rsidRPr="009C74A3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9C74A3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9C74A3" w:rsidRDefault="00053508" w:rsidP="00CE4770">
      <w:pPr>
        <w:spacing w:before="2"/>
        <w:rPr>
          <w:rFonts w:ascii="Arial" w:hAnsi="Arial" w:cs="Arial"/>
          <w:b/>
          <w:bCs/>
          <w:noProof/>
          <w:color w:val="3C3C3C"/>
          <w:sz w:val="18"/>
        </w:rPr>
      </w:pPr>
      <w:bookmarkStart w:id="1" w:name="_Hlk33512397"/>
      <w:bookmarkStart w:id="2" w:name="_Hlk524509965"/>
    </w:p>
    <w:bookmarkEnd w:id="1"/>
    <w:p w14:paraId="40A18B2C" w14:textId="188F9C83" w:rsidR="00BD1D90" w:rsidRPr="009C74A3" w:rsidRDefault="00BD1D90" w:rsidP="0093148D">
      <w:pPr>
        <w:keepNext/>
        <w:spacing w:after="0" w:line="240" w:lineRule="auto"/>
        <w:ind w:left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93148D" w:rsidRPr="0093148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odczynników, materiałów kontrolnych, kalibracyjnych, zużywalnych do ogólnego badania moczu.</w:t>
      </w:r>
    </w:p>
    <w:p w14:paraId="26184C57" w14:textId="5CEC12ED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BZP 202</w:t>
      </w:r>
      <w:r w:rsidR="00EA6688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/BZP </w:t>
      </w:r>
      <w:r w:rsidR="009809E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00369096/01</w:t>
      </w:r>
      <w:r w:rsidR="00B237E5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9C74A3">
        <w:rPr>
          <w:noProof/>
        </w:rPr>
        <w:t xml:space="preserve"> </w:t>
      </w:r>
      <w:r w:rsidR="00B237E5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</w:t>
      </w:r>
      <w:r w:rsidR="00EA6688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="00B237E5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-</w:t>
      </w:r>
      <w:r w:rsidR="009809E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09-29</w:t>
      </w:r>
    </w:p>
    <w:p w14:paraId="0D3563E0" w14:textId="77777777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9C74A3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9C74A3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9C74A3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452CD9E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9809E7">
        <w:rPr>
          <w:rFonts w:ascii="Arial" w:eastAsia="Times New Roman" w:hAnsi="Arial" w:cs="Arial"/>
          <w:noProof/>
          <w:sz w:val="18"/>
          <w:szCs w:val="18"/>
          <w:lang w:eastAsia="pl-PL"/>
        </w:rPr>
        <w:t>29.09.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EA6688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9C74A3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9C74A3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25474CF8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608615" w14:textId="77777777" w:rsidR="00DF37AA" w:rsidRPr="009C74A3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9C74A3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9C74A3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9C74A3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9C74A3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9C74A3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9C74A3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9C74A3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5B70348C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222AD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116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B31D5D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8" w:history="1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9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9C74A3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9C74A3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</w:p>
    <w:p w14:paraId="4CDC6EEA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4519090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4062DA8C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="0040601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40601C">
        <w:rPr>
          <w:rFonts w:ascii="Arial" w:eastAsia="Times New Roman" w:hAnsi="Arial" w:cs="Arial"/>
          <w:noProof/>
          <w:sz w:val="18"/>
          <w:szCs w:val="18"/>
          <w:lang w:eastAsia="pl-PL"/>
        </w:rPr>
        <w:t>710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9C74A3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9C74A3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9C74A3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4519090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9C74A3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9C74A3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9C74A3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0BC58555" w:rsidR="002A6474" w:rsidRPr="009C74A3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</w:t>
      </w:r>
      <w:r w:rsidR="00C53A23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i dostawa </w:t>
      </w:r>
      <w:r w:rsidR="004739F4" w:rsidRPr="004739F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odczynników, materiałów kontrolnych, kalibracyjnych, zużywalnych do ogólnego badania moczu</w:t>
      </w:r>
      <w:r w:rsidR="004739F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7DF56F1F" w:rsidR="002A6474" w:rsidRPr="009C74A3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668F97F4" w14:textId="77777777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>określone przez zamawiającego ilości są szacunkowym zapotrzebowaniem na okres 48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1E3E9D95" w14:textId="29AD2AC7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 xml:space="preserve">szczegółowe wymagania wobec zamawianych systemów diagnostycznych oraz poszczególnych ich elementów zostały określone w załączniku nr 2a do swz </w:t>
      </w:r>
    </w:p>
    <w:p w14:paraId="4BB4E894" w14:textId="52644849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b/>
          <w:bCs/>
          <w:noProof/>
          <w:snapToGrid w:val="0"/>
          <w:sz w:val="18"/>
        </w:rPr>
        <w:t>Dzierżawa urządzenia</w:t>
      </w:r>
      <w:r w:rsidRPr="009C74A3">
        <w:rPr>
          <w:noProof/>
          <w:snapToGrid w:val="0"/>
          <w:sz w:val="18"/>
        </w:rPr>
        <w:t xml:space="preserve"> do diagnostyki laboratoryjnej, o funkcjonalności, parametrach jakościowych, a także wyposażeniu określonym w załączniku nr 2a do swz.</w:t>
      </w:r>
    </w:p>
    <w:p w14:paraId="080E26C6" w14:textId="77777777" w:rsidR="002A6474" w:rsidRPr="009C74A3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9C74A3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94E59D2" w:rsidR="002A6474" w:rsidRPr="009C74A3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4DD8D68F" w14:textId="77777777" w:rsidR="00840856" w:rsidRPr="009C74A3" w:rsidRDefault="00840856" w:rsidP="00840856">
      <w:pPr>
        <w:spacing w:after="0" w:line="240" w:lineRule="auto"/>
        <w:ind w:left="1134"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3E420C8" w14:textId="54FBEBB6" w:rsidR="002A6474" w:rsidRPr="009C74A3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840856" w:rsidRPr="009C74A3" w14:paraId="58104747" w14:textId="77777777" w:rsidTr="00AC775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95B4D3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46C56B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Opis:</w:t>
            </w:r>
          </w:p>
        </w:tc>
      </w:tr>
      <w:tr w:rsidR="00840856" w:rsidRPr="009C74A3" w14:paraId="4B5BD411" w14:textId="77777777" w:rsidTr="00AC775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56F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B7C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Odczynniki laboratoryjne</w:t>
            </w:r>
          </w:p>
        </w:tc>
      </w:tr>
    </w:tbl>
    <w:p w14:paraId="5F8E8B78" w14:textId="77777777" w:rsidR="00840856" w:rsidRPr="009C74A3" w:rsidRDefault="00840856" w:rsidP="00840856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EAC0BD9" w14:textId="4D23CA58" w:rsidR="000A6963" w:rsidRPr="00092C20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092C2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Zamawiający </w:t>
      </w:r>
      <w:r w:rsidR="001E3D8C" w:rsidRPr="00092C2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podzielił przedmiot zamówienia na 2 pakiety, i </w:t>
      </w:r>
      <w:r w:rsidRPr="00092C2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wyraża zgod</w:t>
      </w:r>
      <w:r w:rsidR="001E3D8C" w:rsidRPr="00092C2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ę</w:t>
      </w:r>
      <w:r w:rsidRPr="00092C2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na złożenie ofert częściowych</w:t>
      </w:r>
      <w:r w:rsidR="001E3D8C" w:rsidRPr="00092C2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na dowolnie wybrany pakiet lub pakiety.</w:t>
      </w:r>
    </w:p>
    <w:p w14:paraId="445EA70B" w14:textId="3C6484C8" w:rsidR="00C8737F" w:rsidRPr="009C74A3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9C74A3">
        <w:rPr>
          <w:noProof/>
          <w:sz w:val="18"/>
        </w:rPr>
        <w:t>Zamawiający nie dopuszcza składania ofert wariantowych.</w:t>
      </w:r>
    </w:p>
    <w:p w14:paraId="7E3B2849" w14:textId="478DC99F" w:rsidR="00C8737F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5" w:name="_Hlk50013574"/>
      <w:r w:rsidRPr="009C74A3">
        <w:rPr>
          <w:noProof/>
          <w:sz w:val="18"/>
        </w:rPr>
        <w:t>Zamawiający nie przewiduje możliwości udzielenie zamówień, o których mowa w art. 214 ust. 1 pkt  8) Pzp.</w:t>
      </w:r>
    </w:p>
    <w:p w14:paraId="7C05C4BD" w14:textId="77777777" w:rsidR="00DA1205" w:rsidRDefault="00DA1205" w:rsidP="00DA1205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left="284" w:hanging="284"/>
        <w:rPr>
          <w:b/>
          <w:bCs/>
          <w:color w:val="000000"/>
          <w:sz w:val="18"/>
        </w:rPr>
      </w:pPr>
      <w:bookmarkStart w:id="16" w:name="_Hlk64544621"/>
      <w:r>
        <w:rPr>
          <w:b/>
          <w:bCs/>
          <w:color w:val="000000"/>
          <w:sz w:val="18"/>
        </w:rPr>
        <w:t xml:space="preserve">Zamawiający wymaga, aby Wykonawca, przed złożeniem oferty, dokonał wizji miejsc realizacji zamówienia i </w:t>
      </w:r>
      <w:bookmarkEnd w:id="16"/>
      <w:r>
        <w:rPr>
          <w:b/>
          <w:bCs/>
          <w:color w:val="000000"/>
          <w:sz w:val="18"/>
        </w:rPr>
        <w:t>ich otoczenia w celu oszacowania na własną odpowiedzialność, na własny koszt i ryzyko wszystkich kosztów, jakie mogą okazać się niezbędne do przygotowania oferty oraz realizacji zamówienia zgodnie SWZ. Zamawiający nie przewiduje spotkania wyjaśniającego. Koszty związane przeprowadzeniem wizji lokalnej poniesie wykonawca.</w:t>
      </w:r>
    </w:p>
    <w:p w14:paraId="04597A81" w14:textId="589DD318" w:rsidR="00DA1205" w:rsidRDefault="00DA1205" w:rsidP="00DA1205">
      <w:pPr>
        <w:pStyle w:val="Akapitzlist"/>
        <w:numPr>
          <w:ilvl w:val="1"/>
          <w:numId w:val="36"/>
        </w:numPr>
        <w:tabs>
          <w:tab w:val="num" w:pos="709"/>
        </w:tabs>
        <w:ind w:left="709" w:right="139" w:hanging="283"/>
        <w:rPr>
          <w:b/>
          <w:bCs/>
          <w:color w:val="000000"/>
          <w:sz w:val="18"/>
        </w:rPr>
      </w:pPr>
      <w:r>
        <w:rPr>
          <w:b/>
          <w:bCs/>
          <w:sz w:val="18"/>
        </w:rPr>
        <w:t xml:space="preserve">Zamawiający przewiduje jeden termin wizji lokalnej. Wizja lokalna odbędzie się w dniu </w:t>
      </w:r>
      <w:r w:rsidR="00E16396">
        <w:rPr>
          <w:b/>
          <w:bCs/>
          <w:color w:val="FF0000"/>
          <w:sz w:val="18"/>
        </w:rPr>
        <w:t>04.10.</w:t>
      </w:r>
      <w:r>
        <w:rPr>
          <w:b/>
          <w:bCs/>
          <w:color w:val="FF0000"/>
          <w:sz w:val="18"/>
        </w:rPr>
        <w:t xml:space="preserve">2022 r. </w:t>
      </w:r>
      <w:r>
        <w:rPr>
          <w:b/>
          <w:bCs/>
          <w:sz w:val="18"/>
        </w:rPr>
        <w:t>Zamawiający nie przewiduje dodatkowych terminów wizji lokalnej.</w:t>
      </w:r>
    </w:p>
    <w:p w14:paraId="58ECD458" w14:textId="073DAB0C" w:rsidR="008B4B7C" w:rsidRPr="00DA1205" w:rsidRDefault="00DA1205" w:rsidP="00DA1205">
      <w:pPr>
        <w:pStyle w:val="Akapitzlist"/>
        <w:numPr>
          <w:ilvl w:val="1"/>
          <w:numId w:val="36"/>
        </w:numPr>
        <w:tabs>
          <w:tab w:val="num" w:pos="709"/>
        </w:tabs>
        <w:ind w:left="709" w:hanging="283"/>
        <w:rPr>
          <w:b/>
          <w:bCs/>
          <w:color w:val="000000"/>
          <w:sz w:val="18"/>
        </w:rPr>
      </w:pPr>
      <w:r>
        <w:rPr>
          <w:b/>
          <w:bCs/>
          <w:sz w:val="18"/>
        </w:rPr>
        <w:t xml:space="preserve">Protokół z potwierdzeniem udziału w wizji lokalnej zgodny z zał. </w:t>
      </w:r>
      <w:r>
        <w:rPr>
          <w:b/>
          <w:bCs/>
          <w:sz w:val="18"/>
          <w:shd w:val="clear" w:color="auto" w:fill="FFFFFF" w:themeFill="background1"/>
        </w:rPr>
        <w:t>nr 5 do SWZ</w:t>
      </w:r>
      <w:r>
        <w:rPr>
          <w:b/>
          <w:bCs/>
          <w:sz w:val="18"/>
        </w:rPr>
        <w:t xml:space="preserve"> należy załączyć do oferty. Brak potwierdzenia (zgodnie z treścią zdania pierwszego) przeprowadzenia wizji lokalnej spowoduje odrzucenie oferty.</w:t>
      </w:r>
    </w:p>
    <w:p w14:paraId="63D79AF0" w14:textId="77777777" w:rsidR="00DA1205" w:rsidRPr="00DA1205" w:rsidRDefault="00DA1205" w:rsidP="00DA1205">
      <w:pPr>
        <w:pStyle w:val="Akapitzlist"/>
        <w:ind w:left="709"/>
        <w:rPr>
          <w:b/>
          <w:bCs/>
          <w:color w:val="000000"/>
          <w:sz w:val="18"/>
        </w:rPr>
      </w:pPr>
    </w:p>
    <w:p w14:paraId="3E8569D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45190908"/>
      <w:bookmarkEnd w:id="1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3F2CA50B" w:rsidR="00C8737F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840856"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48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0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1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4519091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35CA5EEF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2329D8" w:rsidRPr="009C74A3">
        <w:rPr>
          <w:rFonts w:ascii="Arial" w:eastAsia="Times New Roman" w:hAnsi="Arial" w:cs="Arial"/>
          <w:noProof/>
          <w:color w:val="FF0000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45190912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9C74A3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9C74A3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02579FE0" w14:textId="600CF22D" w:rsidR="00F4794A" w:rsidRPr="009C74A3" w:rsidRDefault="003523B4" w:rsidP="00F4794A">
      <w:pPr>
        <w:tabs>
          <w:tab w:val="num" w:pos="709"/>
        </w:tabs>
        <w:spacing w:after="0" w:line="240" w:lineRule="auto"/>
        <w:ind w:left="56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4794A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Elżbieta Wasilewska  (Kierownik Zakładu Diagnostyki Laboratoryjnej) - 23 / 673 02 87 </w:t>
      </w:r>
      <w:hyperlink r:id="rId14" w:history="1">
        <w:r w:rsidR="00F4794A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zdl@szpitalciechanow.com.pl</w:t>
        </w:r>
      </w:hyperlink>
    </w:p>
    <w:p w14:paraId="7E2FE429" w14:textId="5AF1D335" w:rsidR="003523B4" w:rsidRPr="009C74A3" w:rsidRDefault="003523B4" w:rsidP="00F4794A">
      <w:pPr>
        <w:pStyle w:val="Akapitzlist"/>
        <w:numPr>
          <w:ilvl w:val="0"/>
          <w:numId w:val="44"/>
        </w:numPr>
        <w:tabs>
          <w:tab w:val="num" w:pos="709"/>
        </w:tabs>
        <w:ind w:left="567" w:right="57" w:hanging="283"/>
        <w:rPr>
          <w:noProof/>
          <w:sz w:val="18"/>
        </w:rPr>
      </w:pPr>
      <w:r w:rsidRPr="009C74A3">
        <w:rPr>
          <w:noProof/>
          <w:sz w:val="18"/>
        </w:rPr>
        <w:lastRenderedPageBreak/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Pr="009C74A3">
          <w:rPr>
            <w:noProof/>
            <w:color w:val="0000FF"/>
            <w:sz w:val="18"/>
            <w:u w:val="single"/>
            <w:lang w:bidi="pl-PL"/>
          </w:rPr>
          <w:t>zp3@szpitalciechanow.com.pl</w:t>
        </w:r>
      </w:hyperlink>
    </w:p>
    <w:p w14:paraId="0E50EF96" w14:textId="77777777" w:rsidR="003523B4" w:rsidRPr="009C74A3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2" w:name="_Toc4519091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9C74A3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9C74A3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Toc90280660"/>
      <w:bookmarkStart w:id="24" w:name="_Toc4519091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C2F1392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9C74A3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Hlk58413704"/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69416177" w14:textId="77777777" w:rsidR="00B62B9E" w:rsidRPr="009C74A3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323D300E" w14:textId="2128BC9C" w:rsidR="009F0FDD" w:rsidRPr="009C74A3" w:rsidRDefault="00B62B9E" w:rsidP="009F0FDD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6949CF0E" w14:textId="050649A6" w:rsidR="009F0FDD" w:rsidRPr="009C74A3" w:rsidRDefault="009F0FDD" w:rsidP="009F0FDD">
      <w:pPr>
        <w:pStyle w:val="Akapitzlist"/>
        <w:numPr>
          <w:ilvl w:val="0"/>
          <w:numId w:val="8"/>
        </w:numPr>
        <w:ind w:left="993" w:hanging="284"/>
        <w:rPr>
          <w:b/>
          <w:i/>
          <w:iCs/>
          <w:noProof/>
          <w:sz w:val="18"/>
        </w:rPr>
      </w:pPr>
      <w:r w:rsidRPr="009C74A3">
        <w:rPr>
          <w:b/>
          <w:noProof/>
          <w:sz w:val="18"/>
        </w:rPr>
        <w:t xml:space="preserve">Załacznik 2a- OPZ </w:t>
      </w:r>
    </w:p>
    <w:p w14:paraId="0D1B9168" w14:textId="41BEF4F6" w:rsidR="00E96C5F" w:rsidRPr="009C74A3" w:rsidRDefault="00E96C5F" w:rsidP="00E96C5F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9C74A3">
        <w:rPr>
          <w:b/>
          <w:i/>
          <w:iCs/>
          <w:noProof/>
          <w:color w:val="FF0000"/>
          <w:sz w:val="18"/>
        </w:rPr>
        <w:t xml:space="preserve">UWAGA!!!   </w:t>
      </w:r>
    </w:p>
    <w:p w14:paraId="515EF473" w14:textId="43870F37" w:rsidR="00B62B9E" w:rsidRPr="009C74A3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</w:t>
      </w:r>
      <w:r w:rsidRPr="009C74A3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9C74A3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r w:rsidRPr="009C74A3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9C74A3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9C74A3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4681A813" w14:textId="366E43F1" w:rsidR="00B16E7E" w:rsidRPr="009C74A3" w:rsidRDefault="00B16E7E" w:rsidP="00B16E7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993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bookmarkStart w:id="27" w:name="_Hlk58839915"/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719C767" w14:textId="321E8821" w:rsidR="00B16E7E" w:rsidRPr="009C74A3" w:rsidRDefault="00B16E7E" w:rsidP="00B16E7E">
      <w:pPr>
        <w:keepNext/>
        <w:suppressAutoHyphens/>
        <w:spacing w:after="0" w:line="240" w:lineRule="auto"/>
        <w:ind w:left="993" w:right="-134" w:hanging="142"/>
        <w:jc w:val="both"/>
        <w:outlineLvl w:val="1"/>
        <w:rPr>
          <w:rFonts w:ascii="Arial" w:eastAsia="Calibri" w:hAnsi="Arial" w:cs="Arial"/>
          <w:noProof/>
          <w:snapToGrid w:val="0"/>
          <w:sz w:val="18"/>
          <w:szCs w:val="18"/>
        </w:rPr>
      </w:pPr>
      <w:bookmarkStart w:id="28" w:name="_Toc9227983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  Dokumenty winny być złożone w formie umożliwiającej zamawiającemu łatwą weryfikację spełnienia poszczególnych wymogów, np. poprzez oznaczenie w treści dokumentów (kolory, odnośniki, komentarze itp.) pozycji z zał. nr 2</w:t>
      </w:r>
      <w:r w:rsidR="00151992" w:rsidRPr="00FE6FD3">
        <w:rPr>
          <w:rFonts w:ascii="Arial" w:eastAsia="Calibri" w:hAnsi="Arial" w:cs="Arial"/>
          <w:noProof/>
          <w:snapToGrid w:val="0"/>
          <w:sz w:val="18"/>
          <w:szCs w:val="18"/>
        </w:rPr>
        <w:t>a</w:t>
      </w:r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).</w:t>
      </w:r>
      <w:bookmarkEnd w:id="2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</w:t>
      </w:r>
    </w:p>
    <w:p w14:paraId="3303A6D7" w14:textId="7D173CD4" w:rsidR="00B16E7E" w:rsidRPr="009C74A3" w:rsidRDefault="00B16E7E" w:rsidP="00B16E7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993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i/>
          <w:noProof/>
          <w:snapToGrid w:val="0"/>
          <w:sz w:val="18"/>
          <w:szCs w:val="18"/>
          <w:lang w:eastAsia="pl-PL"/>
        </w:rPr>
        <w:t>Dokumenty dopuszczenia do obrotu/użytkowania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dla oferowanych produktów, wymienione w ustawie o wyrobach medycznych (Dz.U. 202</w:t>
      </w:r>
      <w:r w:rsidR="00902AC6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poz. </w:t>
      </w:r>
      <w:r w:rsidR="00902AC6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974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, ze zm.) – aktualne na dzień składania ofert.</w:t>
      </w:r>
    </w:p>
    <w:p w14:paraId="3EF3D331" w14:textId="77777777" w:rsidR="00B62B9E" w:rsidRPr="009C74A3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7"/>
    <w:p w14:paraId="2AF9D62B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9C74A3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7F02DD68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9C74A3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4"/>
    </w:p>
    <w:p w14:paraId="54227298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40D2C1A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9809E7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11.10.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62B9E"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9"/>
    </w:p>
    <w:p w14:paraId="2469D575" w14:textId="3AA39666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9809E7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11.10.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62B9E"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9C74A3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9C74A3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9C74A3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9C74A3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0"/>
    </w:p>
    <w:p w14:paraId="1AB268AA" w14:textId="77777777" w:rsidR="00C8737F" w:rsidRPr="009C74A3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9C74A3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9C74A3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9C74A3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9C74A3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9C74A3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finansowania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9C74A3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9C74A3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9C74A3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9C74A3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9C74A3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9C74A3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9C74A3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9C74A3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9C74A3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9C74A3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9C74A3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9C74A3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9C74A3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9C74A3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9C74A3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9C74A3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9C74A3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9C74A3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9C74A3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9C74A3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9C74A3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9C74A3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9C74A3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9C74A3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9C74A3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9C74A3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9C74A3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9C74A3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18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1"/>
    </w:p>
    <w:p w14:paraId="585C4863" w14:textId="77777777" w:rsidR="00C8737F" w:rsidRPr="009C74A3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9C74A3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9C74A3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9C74A3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68386DD0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32" w:name="_Toc4519091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2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53B7E38" w14:textId="77777777" w:rsidR="00002C50" w:rsidRPr="009C74A3" w:rsidRDefault="00002C50" w:rsidP="00002C5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7665E53C" w14:textId="77777777" w:rsidR="00002C50" w:rsidRPr="009C74A3" w:rsidRDefault="00002C50" w:rsidP="00002C50">
      <w:pPr>
        <w:numPr>
          <w:ilvl w:val="3"/>
          <w:numId w:val="4"/>
        </w:numPr>
        <w:tabs>
          <w:tab w:val="clear" w:pos="1780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wyborze  najkorzystniejszej  oferty zamawiający będzie  się kierował się </w:t>
      </w:r>
    </w:p>
    <w:p w14:paraId="3E182628" w14:textId="77777777" w:rsidR="00002C50" w:rsidRPr="009C74A3" w:rsidRDefault="00002C50" w:rsidP="00002C50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002C50" w:rsidRPr="009C74A3" w14:paraId="4A261434" w14:textId="77777777" w:rsidTr="00AC7753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7CB40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  <w:lastRenderedPageBreak/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1284A6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779891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  <w:t>Waga</w:t>
            </w:r>
          </w:p>
          <w:p w14:paraId="6224B85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%</w:t>
            </w:r>
          </w:p>
          <w:p w14:paraId="35C1786A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354FED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exact"/>
              <w:ind w:right="6"/>
              <w:jc w:val="center"/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Ilo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ść </w:t>
            </w:r>
            <w:r w:rsidRPr="009C74A3"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4813A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Sposób oceny:                                                                               wzory, uzyskane in</w:t>
            </w: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softHyphen/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formacje maj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ą</w:t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ce wpływ na cen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ę</w:t>
            </w:r>
          </w:p>
        </w:tc>
      </w:tr>
      <w:tr w:rsidR="00002C50" w:rsidRPr="009C74A3" w14:paraId="5DFE917E" w14:textId="77777777" w:rsidTr="00AC7753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1E1ED60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1</w:t>
            </w:r>
          </w:p>
          <w:p w14:paraId="435C5796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898FB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0054BD3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63AB53E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  <w:p w14:paraId="2547F254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54283C1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 w:after="0" w:line="240" w:lineRule="auto"/>
              <w:ind w:left="57" w:right="284" w:firstLine="1191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Najniższa cena oferty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br/>
              <w:t xml:space="preserve">Ilość pkt.. = 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60</w:t>
            </w:r>
          </w:p>
          <w:p w14:paraId="2695DAF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Cena oferty badanej</w:t>
            </w:r>
          </w:p>
        </w:tc>
      </w:tr>
      <w:tr w:rsidR="00002C50" w:rsidRPr="009C74A3" w14:paraId="73B794FC" w14:textId="77777777" w:rsidTr="00AC7753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0A208577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1CACCE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exact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2C8AD90D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5B58CBB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  <w:p w14:paraId="00E4C6F1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3B0B955" w14:textId="77777777" w:rsidR="00002C50" w:rsidRPr="009C74A3" w:rsidRDefault="00002C50" w:rsidP="00002C50">
            <w:pPr>
              <w:shd w:val="clear" w:color="auto" w:fill="FFFFFF"/>
              <w:snapToGrid w:val="0"/>
              <w:spacing w:before="60" w:after="0" w:line="240" w:lineRule="auto"/>
              <w:ind w:left="56" w:right="40" w:hanging="11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Ocena punktowa dokonana na podstawie informacji przedstawionych </w:t>
            </w: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 xml:space="preserve">przez wykonawcę w zestawieniu ocenianych cech oferowanego systemu. (zał. 2a do swz) </w:t>
            </w:r>
          </w:p>
          <w:p w14:paraId="0DC2CB0C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04F4502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Punkty  właściwe  (zgodne z wagą kryterium oceny ofert  tj. 40%) zostaną  przydzielone ofercie badanej na podstawie wzoru:</w:t>
            </w:r>
          </w:p>
          <w:p w14:paraId="2BB36B8B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suma punktów „małych”     </w:t>
            </w:r>
          </w:p>
          <w:p w14:paraId="1D316DA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otrzymanych przez ofertę badaną </w:t>
            </w:r>
          </w:p>
          <w:p w14:paraId="0C48049F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 w:hanging="1220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Ilość pkt.. =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ab/>
              <w:t xml:space="preserve">Ilość pkt. ----------------------------------------------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40</w:t>
            </w:r>
          </w:p>
          <w:p w14:paraId="41E60BA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Największa ilość przyznanych </w:t>
            </w:r>
          </w:p>
          <w:p w14:paraId="3159A883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      punktów „małych”</w:t>
            </w:r>
          </w:p>
          <w:p w14:paraId="57A26ED3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  <w:t>Uwaga!</w:t>
            </w:r>
          </w:p>
          <w:p w14:paraId="0D826833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uppressAutoHyphens/>
              <w:spacing w:after="0" w:line="240" w:lineRule="auto"/>
              <w:ind w:left="324" w:right="38" w:hanging="324"/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Wykonawca jest zobowiązany złożyć wraz z ofertą dokumenty, wytworzone przez producentów oferowanego analizatora i mat. pozostałych, potwierdzające informacje i wpisy wykonawcy, umieszczone przez niego w załączniku nr 2a do swz dla pozycji ocenianych.</w:t>
            </w:r>
          </w:p>
          <w:p w14:paraId="5EE4344F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pacing w:after="0" w:line="288" w:lineRule="exact"/>
              <w:ind w:left="324" w:right="38" w:hanging="32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19660951" w14:textId="77777777" w:rsidR="00002C50" w:rsidRPr="009C74A3" w:rsidRDefault="00002C50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35CAADE1" w14:textId="77777777" w:rsidR="00311BEE" w:rsidRPr="009C74A3" w:rsidRDefault="00311BEE" w:rsidP="00772E95">
      <w:pPr>
        <w:keepNext/>
        <w:spacing w:after="0" w:line="240" w:lineRule="auto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9F55BA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4519092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9C74A3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9C74A3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4519092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9C74A3" w:rsidRDefault="005D60EB">
      <w:pPr>
        <w:rPr>
          <w:noProof/>
        </w:rPr>
      </w:pPr>
    </w:p>
    <w:sectPr w:rsidR="005D60EB" w:rsidRPr="009C74A3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B418" w14:textId="77777777" w:rsidR="0001211E" w:rsidRDefault="0001211E">
      <w:pPr>
        <w:spacing w:after="0" w:line="240" w:lineRule="auto"/>
      </w:pPr>
      <w:r>
        <w:separator/>
      </w:r>
    </w:p>
  </w:endnote>
  <w:endnote w:type="continuationSeparator" w:id="0">
    <w:p w14:paraId="38996E89" w14:textId="77777777" w:rsidR="0001211E" w:rsidRDefault="0001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6B78" w14:textId="77777777" w:rsidR="0001211E" w:rsidRDefault="0001211E">
      <w:pPr>
        <w:spacing w:after="0" w:line="240" w:lineRule="auto"/>
      </w:pPr>
      <w:r>
        <w:separator/>
      </w:r>
    </w:p>
  </w:footnote>
  <w:footnote w:type="continuationSeparator" w:id="0">
    <w:p w14:paraId="008F5B9F" w14:textId="77777777" w:rsidR="0001211E" w:rsidRDefault="0001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390269"/>
    <w:multiLevelType w:val="hybridMultilevel"/>
    <w:tmpl w:val="4A482C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F5847224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35287082">
    <w:abstractNumId w:val="0"/>
  </w:num>
  <w:num w:numId="2" w16cid:durableId="788008884">
    <w:abstractNumId w:val="1"/>
  </w:num>
  <w:num w:numId="3" w16cid:durableId="1544294714">
    <w:abstractNumId w:val="2"/>
  </w:num>
  <w:num w:numId="4" w16cid:durableId="1425998395">
    <w:abstractNumId w:val="4"/>
  </w:num>
  <w:num w:numId="5" w16cid:durableId="890120982">
    <w:abstractNumId w:val="3"/>
  </w:num>
  <w:num w:numId="6" w16cid:durableId="353043217">
    <w:abstractNumId w:val="5"/>
  </w:num>
  <w:num w:numId="7" w16cid:durableId="121732918">
    <w:abstractNumId w:val="41"/>
  </w:num>
  <w:num w:numId="8" w16cid:durableId="1340891124">
    <w:abstractNumId w:val="25"/>
  </w:num>
  <w:num w:numId="9" w16cid:durableId="713701474">
    <w:abstractNumId w:val="42"/>
  </w:num>
  <w:num w:numId="10" w16cid:durableId="2034652580">
    <w:abstractNumId w:val="22"/>
  </w:num>
  <w:num w:numId="11" w16cid:durableId="1440444513">
    <w:abstractNumId w:val="40"/>
  </w:num>
  <w:num w:numId="12" w16cid:durableId="1819036411">
    <w:abstractNumId w:val="31"/>
  </w:num>
  <w:num w:numId="13" w16cid:durableId="417286857">
    <w:abstractNumId w:val="14"/>
  </w:num>
  <w:num w:numId="14" w16cid:durableId="1377896644">
    <w:abstractNumId w:val="29"/>
  </w:num>
  <w:num w:numId="15" w16cid:durableId="318585255">
    <w:abstractNumId w:val="16"/>
  </w:num>
  <w:num w:numId="16" w16cid:durableId="947935262">
    <w:abstractNumId w:val="26"/>
  </w:num>
  <w:num w:numId="17" w16cid:durableId="6106096">
    <w:abstractNumId w:val="7"/>
  </w:num>
  <w:num w:numId="18" w16cid:durableId="997464942">
    <w:abstractNumId w:val="6"/>
  </w:num>
  <w:num w:numId="19" w16cid:durableId="474831748">
    <w:abstractNumId w:val="38"/>
  </w:num>
  <w:num w:numId="20" w16cid:durableId="79720929">
    <w:abstractNumId w:val="37"/>
  </w:num>
  <w:num w:numId="21" w16cid:durableId="614873989">
    <w:abstractNumId w:val="43"/>
  </w:num>
  <w:num w:numId="22" w16cid:durableId="1266421969">
    <w:abstractNumId w:val="15"/>
  </w:num>
  <w:num w:numId="23" w16cid:durableId="2071952541">
    <w:abstractNumId w:val="35"/>
  </w:num>
  <w:num w:numId="24" w16cid:durableId="751126748">
    <w:abstractNumId w:val="28"/>
  </w:num>
  <w:num w:numId="25" w16cid:durableId="1545560993">
    <w:abstractNumId w:val="11"/>
  </w:num>
  <w:num w:numId="26" w16cid:durableId="1836988568">
    <w:abstractNumId w:val="8"/>
  </w:num>
  <w:num w:numId="27" w16cid:durableId="371882437">
    <w:abstractNumId w:val="45"/>
  </w:num>
  <w:num w:numId="28" w16cid:durableId="579025455">
    <w:abstractNumId w:val="27"/>
  </w:num>
  <w:num w:numId="29" w16cid:durableId="1550612080">
    <w:abstractNumId w:val="20"/>
  </w:num>
  <w:num w:numId="30" w16cid:durableId="176248210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81775926">
    <w:abstractNumId w:val="30"/>
  </w:num>
  <w:num w:numId="32" w16cid:durableId="1028146804">
    <w:abstractNumId w:val="12"/>
  </w:num>
  <w:num w:numId="33" w16cid:durableId="475072141">
    <w:abstractNumId w:val="17"/>
  </w:num>
  <w:num w:numId="34" w16cid:durableId="649141172">
    <w:abstractNumId w:val="19"/>
  </w:num>
  <w:num w:numId="35" w16cid:durableId="649750291">
    <w:abstractNumId w:val="36"/>
  </w:num>
  <w:num w:numId="36" w16cid:durableId="506603255">
    <w:abstractNumId w:val="18"/>
  </w:num>
  <w:num w:numId="37" w16cid:durableId="1711421123">
    <w:abstractNumId w:val="32"/>
  </w:num>
  <w:num w:numId="38" w16cid:durableId="20975587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1111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7890245">
    <w:abstractNumId w:val="34"/>
  </w:num>
  <w:num w:numId="41" w16cid:durableId="1050769913">
    <w:abstractNumId w:val="44"/>
  </w:num>
  <w:num w:numId="42" w16cid:durableId="1735615206">
    <w:abstractNumId w:val="9"/>
  </w:num>
  <w:num w:numId="43" w16cid:durableId="1743141074">
    <w:abstractNumId w:val="10"/>
  </w:num>
  <w:num w:numId="44" w16cid:durableId="1513030553">
    <w:abstractNumId w:val="23"/>
  </w:num>
  <w:num w:numId="45" w16cid:durableId="428619621">
    <w:abstractNumId w:val="33"/>
  </w:num>
  <w:num w:numId="46" w16cid:durableId="900292012">
    <w:abstractNumId w:val="39"/>
  </w:num>
  <w:num w:numId="47" w16cid:durableId="69901081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2C50"/>
    <w:rsid w:val="0001211E"/>
    <w:rsid w:val="00017C4A"/>
    <w:rsid w:val="000242B5"/>
    <w:rsid w:val="00053508"/>
    <w:rsid w:val="00064C60"/>
    <w:rsid w:val="00071727"/>
    <w:rsid w:val="0009155E"/>
    <w:rsid w:val="00092C20"/>
    <w:rsid w:val="000A48DB"/>
    <w:rsid w:val="000A6963"/>
    <w:rsid w:val="000B6237"/>
    <w:rsid w:val="000D6D56"/>
    <w:rsid w:val="00127E9E"/>
    <w:rsid w:val="00151992"/>
    <w:rsid w:val="00161507"/>
    <w:rsid w:val="00192016"/>
    <w:rsid w:val="001B162E"/>
    <w:rsid w:val="001E3D8C"/>
    <w:rsid w:val="00202E63"/>
    <w:rsid w:val="00222AD1"/>
    <w:rsid w:val="00232500"/>
    <w:rsid w:val="002329D8"/>
    <w:rsid w:val="00237172"/>
    <w:rsid w:val="002638B8"/>
    <w:rsid w:val="002A6474"/>
    <w:rsid w:val="002C7B49"/>
    <w:rsid w:val="00301AC8"/>
    <w:rsid w:val="00311BEE"/>
    <w:rsid w:val="00331313"/>
    <w:rsid w:val="00333E5F"/>
    <w:rsid w:val="003523B4"/>
    <w:rsid w:val="00360A8A"/>
    <w:rsid w:val="00374E27"/>
    <w:rsid w:val="00394952"/>
    <w:rsid w:val="00397972"/>
    <w:rsid w:val="003B6A39"/>
    <w:rsid w:val="003C3820"/>
    <w:rsid w:val="0040601C"/>
    <w:rsid w:val="00413042"/>
    <w:rsid w:val="00424AE5"/>
    <w:rsid w:val="004739F4"/>
    <w:rsid w:val="004B46DB"/>
    <w:rsid w:val="004D1941"/>
    <w:rsid w:val="004E1FC7"/>
    <w:rsid w:val="0052218C"/>
    <w:rsid w:val="00530951"/>
    <w:rsid w:val="00533E2D"/>
    <w:rsid w:val="0054406B"/>
    <w:rsid w:val="0059014D"/>
    <w:rsid w:val="005921C6"/>
    <w:rsid w:val="005B4A58"/>
    <w:rsid w:val="005D60EB"/>
    <w:rsid w:val="005D6A3A"/>
    <w:rsid w:val="00616807"/>
    <w:rsid w:val="00655C15"/>
    <w:rsid w:val="006637AC"/>
    <w:rsid w:val="00677D48"/>
    <w:rsid w:val="006B38EB"/>
    <w:rsid w:val="006B5839"/>
    <w:rsid w:val="006D52B3"/>
    <w:rsid w:val="006D66A4"/>
    <w:rsid w:val="00732BC5"/>
    <w:rsid w:val="00734E2C"/>
    <w:rsid w:val="00744E12"/>
    <w:rsid w:val="007503F9"/>
    <w:rsid w:val="0077080F"/>
    <w:rsid w:val="00772E95"/>
    <w:rsid w:val="00776A21"/>
    <w:rsid w:val="007E09AC"/>
    <w:rsid w:val="007F192F"/>
    <w:rsid w:val="007F3B31"/>
    <w:rsid w:val="008169F8"/>
    <w:rsid w:val="00840856"/>
    <w:rsid w:val="00850A59"/>
    <w:rsid w:val="00855537"/>
    <w:rsid w:val="00882322"/>
    <w:rsid w:val="008B4B7C"/>
    <w:rsid w:val="008B6274"/>
    <w:rsid w:val="008D7FDE"/>
    <w:rsid w:val="008F0B0A"/>
    <w:rsid w:val="00902AC6"/>
    <w:rsid w:val="009053AA"/>
    <w:rsid w:val="0093148D"/>
    <w:rsid w:val="009500C1"/>
    <w:rsid w:val="00951D57"/>
    <w:rsid w:val="009730CF"/>
    <w:rsid w:val="009808F2"/>
    <w:rsid w:val="009809E7"/>
    <w:rsid w:val="00981EF8"/>
    <w:rsid w:val="009940EC"/>
    <w:rsid w:val="009C41B8"/>
    <w:rsid w:val="009C74A3"/>
    <w:rsid w:val="009F0FDD"/>
    <w:rsid w:val="009F17CE"/>
    <w:rsid w:val="00A0577B"/>
    <w:rsid w:val="00A7414C"/>
    <w:rsid w:val="00AA4367"/>
    <w:rsid w:val="00AB61DB"/>
    <w:rsid w:val="00AC6389"/>
    <w:rsid w:val="00AF030E"/>
    <w:rsid w:val="00B00A32"/>
    <w:rsid w:val="00B16E7E"/>
    <w:rsid w:val="00B237E5"/>
    <w:rsid w:val="00B31D5D"/>
    <w:rsid w:val="00B62B9E"/>
    <w:rsid w:val="00BB3B94"/>
    <w:rsid w:val="00BD1D90"/>
    <w:rsid w:val="00BF07E4"/>
    <w:rsid w:val="00C10488"/>
    <w:rsid w:val="00C15850"/>
    <w:rsid w:val="00C22E5B"/>
    <w:rsid w:val="00C40EA4"/>
    <w:rsid w:val="00C43A41"/>
    <w:rsid w:val="00C53A23"/>
    <w:rsid w:val="00C8737F"/>
    <w:rsid w:val="00CB0962"/>
    <w:rsid w:val="00CB4E75"/>
    <w:rsid w:val="00CC686B"/>
    <w:rsid w:val="00CE4770"/>
    <w:rsid w:val="00CF1AF8"/>
    <w:rsid w:val="00D07125"/>
    <w:rsid w:val="00D828C3"/>
    <w:rsid w:val="00D90B4A"/>
    <w:rsid w:val="00D92A33"/>
    <w:rsid w:val="00DA1205"/>
    <w:rsid w:val="00DA35BB"/>
    <w:rsid w:val="00DF37AA"/>
    <w:rsid w:val="00E16396"/>
    <w:rsid w:val="00E31BE6"/>
    <w:rsid w:val="00E50860"/>
    <w:rsid w:val="00E92A0D"/>
    <w:rsid w:val="00E96C5F"/>
    <w:rsid w:val="00EA6688"/>
    <w:rsid w:val="00EB05FE"/>
    <w:rsid w:val="00EB7190"/>
    <w:rsid w:val="00F15CEB"/>
    <w:rsid w:val="00F40EE5"/>
    <w:rsid w:val="00F4794A"/>
    <w:rsid w:val="00F53218"/>
    <w:rsid w:val="00F65A86"/>
    <w:rsid w:val="00F820B5"/>
    <w:rsid w:val="00F9712C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dl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4914</Words>
  <Characters>29486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18</cp:revision>
  <cp:lastPrinted>2021-06-01T07:52:00Z</cp:lastPrinted>
  <dcterms:created xsi:type="dcterms:W3CDTF">2022-05-13T06:34:00Z</dcterms:created>
  <dcterms:modified xsi:type="dcterms:W3CDTF">2022-09-29T06:02:00Z</dcterms:modified>
</cp:coreProperties>
</file>