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3482A704" w:rsidR="00D870D0" w:rsidRPr="00356122" w:rsidRDefault="00D870D0" w:rsidP="00D870D0">
      <w:pPr>
        <w:pStyle w:val="Tekstpodstawowywcity2"/>
        <w:spacing w:after="0" w:line="240" w:lineRule="auto"/>
        <w:rPr>
          <w:rFonts w:ascii="Tahoma" w:hAnsi="Tahoma" w:cs="Tahoma"/>
          <w:sz w:val="16"/>
          <w:szCs w:val="16"/>
        </w:rPr>
      </w:pPr>
      <w:r w:rsidRPr="00356122">
        <w:rPr>
          <w:rFonts w:ascii="Tahoma" w:hAnsi="Tahoma" w:cs="Tahoma"/>
          <w:b/>
          <w:bCs/>
          <w:sz w:val="16"/>
          <w:szCs w:val="16"/>
        </w:rPr>
        <w:t>Nr postępowania – ZP/2</w:t>
      </w:r>
      <w:r w:rsidR="00592287" w:rsidRPr="00356122">
        <w:rPr>
          <w:rFonts w:ascii="Tahoma" w:hAnsi="Tahoma" w:cs="Tahoma"/>
          <w:b/>
          <w:bCs/>
          <w:sz w:val="16"/>
          <w:szCs w:val="16"/>
        </w:rPr>
        <w:t>501</w:t>
      </w:r>
      <w:r w:rsidRPr="00356122">
        <w:rPr>
          <w:rFonts w:ascii="Tahoma" w:hAnsi="Tahoma" w:cs="Tahoma"/>
          <w:b/>
          <w:bCs/>
          <w:sz w:val="16"/>
          <w:szCs w:val="16"/>
        </w:rPr>
        <w:t>/</w:t>
      </w:r>
      <w:r w:rsidR="00356122" w:rsidRPr="00356122">
        <w:rPr>
          <w:rFonts w:ascii="Tahoma" w:hAnsi="Tahoma" w:cs="Tahoma"/>
          <w:b/>
          <w:bCs/>
          <w:sz w:val="16"/>
          <w:szCs w:val="16"/>
        </w:rPr>
        <w:t>30</w:t>
      </w:r>
      <w:r w:rsidR="00594D55" w:rsidRPr="00356122">
        <w:rPr>
          <w:rFonts w:ascii="Tahoma" w:hAnsi="Tahoma" w:cs="Tahoma"/>
          <w:b/>
          <w:bCs/>
          <w:sz w:val="16"/>
          <w:szCs w:val="16"/>
        </w:rPr>
        <w:t>/</w:t>
      </w:r>
      <w:r w:rsidRPr="00356122">
        <w:rPr>
          <w:rFonts w:ascii="Tahoma" w:hAnsi="Tahoma" w:cs="Tahoma"/>
          <w:b/>
          <w:bCs/>
          <w:sz w:val="16"/>
          <w:szCs w:val="16"/>
        </w:rPr>
        <w:t>20</w:t>
      </w:r>
      <w:r w:rsidR="00592287" w:rsidRPr="00356122">
        <w:rPr>
          <w:rFonts w:ascii="Tahoma" w:hAnsi="Tahoma" w:cs="Tahoma"/>
          <w:b/>
          <w:bCs/>
          <w:sz w:val="16"/>
          <w:szCs w:val="16"/>
        </w:rPr>
        <w:t>2</w:t>
      </w:r>
      <w:r w:rsidR="00356122" w:rsidRPr="00356122">
        <w:rPr>
          <w:rFonts w:ascii="Tahoma" w:hAnsi="Tahoma" w:cs="Tahoma"/>
          <w:b/>
          <w:bCs/>
          <w:sz w:val="16"/>
          <w:szCs w:val="16"/>
        </w:rPr>
        <w:t>3</w:t>
      </w:r>
      <w:r w:rsidRPr="00356122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356122" w:rsidRDefault="00D870D0" w:rsidP="00D870D0">
      <w:pPr>
        <w:pStyle w:val="Tekstpodstawowywcity2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356122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356122">
        <w:rPr>
          <w:rFonts w:ascii="Tahoma" w:hAnsi="Tahoma" w:cs="Tahoma"/>
          <w:b/>
          <w:bCs/>
          <w:sz w:val="16"/>
          <w:szCs w:val="16"/>
        </w:rPr>
        <w:t>a</w:t>
      </w:r>
    </w:p>
    <w:p w14:paraId="28620CA4" w14:textId="77777777" w:rsidR="00D870D0" w:rsidRPr="00356122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356122">
        <w:rPr>
          <w:rFonts w:ascii="Tahoma" w:hAnsi="Tahoma" w:cs="Tahoma"/>
          <w:b/>
          <w:bCs/>
          <w:sz w:val="16"/>
          <w:szCs w:val="16"/>
        </w:rPr>
        <w:t>WYKAZ PRÓBEK</w:t>
      </w:r>
    </w:p>
    <w:p w14:paraId="548BB8A2" w14:textId="77777777" w:rsidR="00D870D0" w:rsidRPr="00356122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4B820960" w14:textId="36A46CD0" w:rsidR="00D870D0" w:rsidRPr="00356122" w:rsidRDefault="00D870D0" w:rsidP="004E1483">
      <w:pPr>
        <w:pStyle w:val="Tekstpodstawowywcity2"/>
        <w:ind w:left="357"/>
        <w:rPr>
          <w:rFonts w:ascii="Tahoma" w:hAnsi="Tahoma" w:cs="Tahoma"/>
          <w:b/>
          <w:sz w:val="16"/>
          <w:szCs w:val="16"/>
        </w:rPr>
      </w:pPr>
      <w:r w:rsidRPr="00356122">
        <w:rPr>
          <w:rFonts w:ascii="Tahoma" w:hAnsi="Tahoma" w:cs="Tahoma"/>
          <w:b/>
          <w:sz w:val="16"/>
          <w:szCs w:val="16"/>
        </w:rPr>
        <w:t>do przetestowania w przetargu</w:t>
      </w:r>
      <w:r w:rsidR="00525B56">
        <w:rPr>
          <w:rFonts w:ascii="Tahoma" w:hAnsi="Tahoma" w:cs="Tahoma"/>
          <w:b/>
          <w:sz w:val="16"/>
          <w:szCs w:val="16"/>
        </w:rPr>
        <w:t xml:space="preserve"> na dostawę s</w:t>
      </w:r>
      <w:r w:rsidR="00525B56" w:rsidRPr="00525B56">
        <w:rPr>
          <w:rFonts w:ascii="Tahoma" w:hAnsi="Tahoma" w:cs="Tahoma"/>
          <w:b/>
          <w:sz w:val="16"/>
          <w:szCs w:val="16"/>
        </w:rPr>
        <w:t>przęt</w:t>
      </w:r>
      <w:r w:rsidR="00525B56">
        <w:rPr>
          <w:rFonts w:ascii="Tahoma" w:hAnsi="Tahoma" w:cs="Tahoma"/>
          <w:b/>
          <w:sz w:val="16"/>
          <w:szCs w:val="16"/>
        </w:rPr>
        <w:t>u</w:t>
      </w:r>
      <w:r w:rsidR="00525B56" w:rsidRPr="00525B56">
        <w:rPr>
          <w:rFonts w:ascii="Tahoma" w:hAnsi="Tahoma" w:cs="Tahoma"/>
          <w:b/>
          <w:sz w:val="16"/>
          <w:szCs w:val="16"/>
        </w:rPr>
        <w:t xml:space="preserve"> do pomiaru parametrów hemodynamicznych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19"/>
        <w:gridCol w:w="1068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356122" w14:paraId="5C7D8AF8" w14:textId="77777777" w:rsidTr="00044FBA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319" w:type="dxa"/>
            <w:vMerge w:val="restart"/>
            <w:shd w:val="pct5" w:color="auto" w:fill="FFFFFF"/>
            <w:vAlign w:val="center"/>
          </w:tcPr>
          <w:p w14:paraId="02A15967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068" w:type="dxa"/>
            <w:vMerge w:val="restart"/>
            <w:shd w:val="pct5" w:color="auto" w:fill="FFFFFF"/>
            <w:vAlign w:val="center"/>
          </w:tcPr>
          <w:p w14:paraId="02EF7606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22469DAF" w:rsidR="00D870D0" w:rsidRPr="00356122" w:rsidRDefault="004942C3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</w:t>
            </w:r>
            <w:r w:rsidR="00D870D0" w:rsidRPr="00356122">
              <w:rPr>
                <w:rFonts w:ascii="Tahoma" w:hAnsi="Tahoma" w:cs="Tahoma"/>
                <w:b/>
                <w:bCs/>
                <w:sz w:val="16"/>
                <w:szCs w:val="16"/>
              </w:rPr>
              <w:t>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56122">
              <w:rPr>
                <w:rFonts w:ascii="Tahoma" w:hAnsi="Tahoma" w:cs="Tahoma"/>
                <w:bCs/>
                <w:sz w:val="16"/>
                <w:szCs w:val="16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356122" w14:paraId="0ED5BCBC" w14:textId="77777777" w:rsidTr="00044FBA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1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356122" w14:paraId="0751FEC0" w14:textId="77777777" w:rsidTr="00044FBA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612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356122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5AC6F08A" w:rsidR="00D870D0" w:rsidRPr="00356122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6122" w:rsidRPr="00356122" w14:paraId="3F0846C9" w14:textId="77777777" w:rsidTr="00044FBA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356122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2E8B574C" w:rsidR="00356122" w:rsidRPr="00356122" w:rsidRDefault="00356122" w:rsidP="003561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"Czujnik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ProAQT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Sensor  z linią 30 cm do pomiaru parametrów hemodynamicznych</w:t>
            </w:r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br/>
              <w:t>Czujnik do ciągłego pomiaru trend rzutu serca poprzez każdy dostęp tętniczy, łatwe i szybkie podłączenie do istniejącego systemu monitorującego inwazyjne ciśnienie krwi, zawiera wskaźnik do odczytu jakości sygnału i stanu czujnika"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1928EF9A" w:rsidR="00356122" w:rsidRPr="00356122" w:rsidRDefault="00356122" w:rsidP="0035612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bCs/>
                <w:sz w:val="16"/>
                <w:szCs w:val="16"/>
              </w:rPr>
              <w:t>1 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356122" w:rsidRPr="00356122" w14:paraId="1B604D4F" w14:textId="77777777" w:rsidTr="00044FBA">
        <w:trPr>
          <w:trHeight w:val="383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356122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2D098" w14:textId="5C71E9EB" w:rsidR="00356122" w:rsidRPr="00356122" w:rsidRDefault="00356122" w:rsidP="003561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"Cewnik do pomiaru rzutu serca PICCO - tętnica ramienna 4f- 16 cm</w:t>
            </w:r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Cewnik do pomiaru rzutu serca metoda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termodylucji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przezpłucnej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PICCO tętnica ramienna proksymalnie długość użyteczna 16 cm/średnica zewnętrzna 4F, przystosowany do pomiaru ciśnienia krwi metodą inwazyjną, posiadający czujnik termiczny. Zestaw zawiera nieodkształcającą się prowadnicę wykonaną z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nitinolu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rozszerzało oraz dwie igły (do wyboru) umożliwiające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kaniulację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naczynia metodą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Seldingera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złącze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Luer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wykonane z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trogamidu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, materiału odpornego na działanie środków odkażających"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138478A8" w:rsidR="00356122" w:rsidRPr="00356122" w:rsidRDefault="00356122" w:rsidP="0035612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bCs/>
                <w:sz w:val="16"/>
                <w:szCs w:val="16"/>
              </w:rPr>
              <w:t>1 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356122" w:rsidRPr="00356122" w14:paraId="309BE798" w14:textId="77777777" w:rsidTr="00044FBA">
        <w:trPr>
          <w:trHeight w:val="468"/>
        </w:trPr>
        <w:tc>
          <w:tcPr>
            <w:tcW w:w="567" w:type="dxa"/>
            <w:tcBorders>
              <w:top w:val="nil"/>
            </w:tcBorders>
            <w:vAlign w:val="center"/>
          </w:tcPr>
          <w:p w14:paraId="36A7BF84" w14:textId="1396E3CE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356122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AFAD3" w14:textId="2523F4AB" w:rsidR="00356122" w:rsidRPr="00356122" w:rsidRDefault="00356122" w:rsidP="003561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"Cewnik do pomiaru rzutu serca PICCO - tętnica udowa 5F- 20 cm </w:t>
            </w:r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Cewnik do pomiaru rzutu serca metodą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termodylucji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przezpłucnej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PICCO, tętnica udowa, długość użyteczna 20 cm/średnica zewnętrzna 5F, przystosowany do pomiaru ciśnienia krwi metodą inwazyjną, posiadający czujnik termiczny. Zestaw zawiera nieodkształcającą się prowadnicę wykonaną z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nitinolu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rozszerzało oraz dwie igły (do wyboru) umożliwiającą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kaniulację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naczynia metodą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Seldingera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złącze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Luer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wykonane z </w:t>
            </w:r>
            <w:proofErr w:type="spellStart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trogamidu</w:t>
            </w:r>
            <w:proofErr w:type="spellEnd"/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, materiału odpornego na działanie środków odkażających"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F25629F" w14:textId="3FC838DF" w:rsidR="00356122" w:rsidRPr="00356122" w:rsidRDefault="00356122" w:rsidP="0035612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bCs/>
                <w:sz w:val="16"/>
                <w:szCs w:val="16"/>
              </w:rPr>
              <w:t>1 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8452BCE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0AE409A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7F1015A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CDB662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DAA6FD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452C7F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8C8F640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356122" w:rsidRPr="00356122" w14:paraId="2ED172B6" w14:textId="77777777" w:rsidTr="00275A95">
        <w:trPr>
          <w:trHeight w:val="425"/>
        </w:trPr>
        <w:tc>
          <w:tcPr>
            <w:tcW w:w="567" w:type="dxa"/>
            <w:vAlign w:val="center"/>
          </w:tcPr>
          <w:p w14:paraId="519B33A9" w14:textId="7CBB1939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356122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B42FD" w14:textId="6BBD17DA" w:rsidR="00356122" w:rsidRPr="00356122" w:rsidRDefault="00356122" w:rsidP="003561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t>"Zestaw monitorujący PICCO z dwoma przetwornikami</w:t>
            </w:r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Podwójny przetwornik do pomiaru ciśnienia metodą inwazyjną, zawierający w standardzie zestaw płuczący linię dł. 150 cm przystosowany do pomiaru ciśnienia tętniczego oznakowany czerwonym znacznikiem z kranikiem trójdrożnym oraz dodatkowo przetwornik do pomiaru ośrodkowego ciśnienia żylnego w sposób ciągły, </w:t>
            </w:r>
            <w:r w:rsidRPr="00356122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oznakowany kolorem niebieskim. Zestaw zawiera przepływowy czujnik termiczny, przystosowany do użycia płynów o temperaturze pokojowej oraz płynów o bardzo niskiej temperaturze zintegrowany z sensorem detekcji przepływu i czasu jej trwania- złącze UTAH"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D5B91A" w14:textId="069D4900" w:rsidR="00356122" w:rsidRPr="00356122" w:rsidRDefault="00356122" w:rsidP="0035612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1 szt.</w:t>
            </w:r>
          </w:p>
        </w:tc>
        <w:tc>
          <w:tcPr>
            <w:tcW w:w="1134" w:type="dxa"/>
          </w:tcPr>
          <w:p w14:paraId="2F2B0871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0EFA368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45C83C8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C384F93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7516B8E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998066C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</w:tcPr>
          <w:p w14:paraId="183B1CED" w14:textId="77777777" w:rsidR="00356122" w:rsidRPr="00356122" w:rsidRDefault="00356122" w:rsidP="0035612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992B6F" w:rsidRPr="00356122" w14:paraId="7037AE89" w14:textId="77777777" w:rsidTr="00AF0407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992B6F" w:rsidRPr="00356122" w:rsidRDefault="00992B6F" w:rsidP="00992B6F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992B6F" w:rsidRPr="00356122" w:rsidRDefault="00992B6F" w:rsidP="00992B6F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992B6F" w:rsidRPr="00356122" w:rsidRDefault="00992B6F" w:rsidP="00992B6F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992B6F" w:rsidRPr="00356122" w:rsidRDefault="00992B6F" w:rsidP="00992B6F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6122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56E7EAF" w14:textId="3F4F2598" w:rsidR="00992B6F" w:rsidRPr="00356122" w:rsidRDefault="00992B6F" w:rsidP="00992B6F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992B6F" w:rsidRPr="00356122" w:rsidRDefault="00992B6F" w:rsidP="00992B6F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32FB894" w14:textId="77777777" w:rsidR="00D870D0" w:rsidRPr="00356122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356122">
        <w:rPr>
          <w:rFonts w:ascii="Tahoma" w:hAnsi="Tahoma" w:cs="Tahoma"/>
          <w:sz w:val="16"/>
          <w:szCs w:val="16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70C91CEE" w14:textId="777C27AD" w:rsidR="004A5C5F" w:rsidRPr="00CC353E" w:rsidRDefault="00D870D0" w:rsidP="00CC353E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4A5C5F" w:rsidRPr="00CC353E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4FBA"/>
    <w:rsid w:val="0004736D"/>
    <w:rsid w:val="000F48E7"/>
    <w:rsid w:val="001776CE"/>
    <w:rsid w:val="001A5DDE"/>
    <w:rsid w:val="002A0F3B"/>
    <w:rsid w:val="002B2BF8"/>
    <w:rsid w:val="00313B58"/>
    <w:rsid w:val="00356122"/>
    <w:rsid w:val="00427DF8"/>
    <w:rsid w:val="004942C3"/>
    <w:rsid w:val="004A5C5F"/>
    <w:rsid w:val="004E1483"/>
    <w:rsid w:val="00525B56"/>
    <w:rsid w:val="00542F5A"/>
    <w:rsid w:val="00591E6E"/>
    <w:rsid w:val="00592287"/>
    <w:rsid w:val="00594D55"/>
    <w:rsid w:val="005F149F"/>
    <w:rsid w:val="00651137"/>
    <w:rsid w:val="00685CA3"/>
    <w:rsid w:val="00695D6D"/>
    <w:rsid w:val="006D6B9D"/>
    <w:rsid w:val="006E5B22"/>
    <w:rsid w:val="007302E6"/>
    <w:rsid w:val="00817F15"/>
    <w:rsid w:val="008B0643"/>
    <w:rsid w:val="008E1A25"/>
    <w:rsid w:val="00930D7E"/>
    <w:rsid w:val="00992B6F"/>
    <w:rsid w:val="00AF52C2"/>
    <w:rsid w:val="00B561E4"/>
    <w:rsid w:val="00C53F48"/>
    <w:rsid w:val="00CC353E"/>
    <w:rsid w:val="00CD282C"/>
    <w:rsid w:val="00D870D0"/>
    <w:rsid w:val="00DE75FD"/>
    <w:rsid w:val="00E40FDF"/>
    <w:rsid w:val="00ED64E5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47</cp:revision>
  <cp:lastPrinted>2021-05-18T10:04:00Z</cp:lastPrinted>
  <dcterms:created xsi:type="dcterms:W3CDTF">2021-04-14T10:46:00Z</dcterms:created>
  <dcterms:modified xsi:type="dcterms:W3CDTF">2023-03-30T11:09:00Z</dcterms:modified>
</cp:coreProperties>
</file>