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42EE3525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2B0C64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  <w:r w:rsidR="00F124C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8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1AA90E21" w14:textId="412E3DD9" w:rsidR="00F124C3" w:rsidRDefault="00C8737F" w:rsidP="00F124C3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33512397"/>
      <w:bookmarkStart w:id="2" w:name="_Hlk524509965"/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Dostawa </w:t>
      </w:r>
      <w:bookmarkEnd w:id="1"/>
      <w:r w:rsidR="00F124C3" w:rsidRPr="00F124C3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sprzętu jednorazowego potrzebnego do funkcjonowania oddziałów szpitalnych</w:t>
      </w:r>
      <w:r w:rsidR="00F124C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26184C57" w14:textId="111850A2" w:rsidR="00C8737F" w:rsidRPr="00DD3B35" w:rsidRDefault="00C8737F" w:rsidP="00F124C3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B9409E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3133EB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00207256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3133EB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7A35D3" w:rsidRPr="003133EB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3133EB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3133EB" w:rsidRPr="003133EB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05-09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77C1F7F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3133EB">
        <w:rPr>
          <w:rFonts w:ascii="Arial" w:eastAsia="Times New Roman" w:hAnsi="Arial" w:cs="Arial"/>
          <w:noProof/>
          <w:sz w:val="18"/>
          <w:szCs w:val="18"/>
          <w:lang w:eastAsia="pl-PL"/>
        </w:rPr>
        <w:t>09.05.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012557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DD3B35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570526" w14:textId="536D3ED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0FEB16" w14:textId="7ABA7AF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0B421F" w14:textId="4DF47FB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7D3A0BD" w14:textId="4CCA3AA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397AF5" w14:textId="092EAB66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4C093C6" w14:textId="5AF1DBFC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913036" w14:textId="5BF33D0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A9227CE" w14:textId="77777777" w:rsidR="00604256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0691D9C" w14:textId="77777777" w:rsidR="00604256" w:rsidRPr="00DD3B35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97F566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2175B1" w14:textId="4FACF8D1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459761D5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604256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  <w:r w:rsidR="00BD1B0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8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5"/>
    </w:p>
    <w:bookmarkEnd w:id="4"/>
    <w:p w14:paraId="218DA4D1" w14:textId="0B2649C0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inne dokumenty zamówienia bezpośrednio związane z postęp̨owaniem  o udzielenie zamówienia będą udostępniane w portalu zakupowym zamawiającego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1F8ABFC" w14:textId="1B6A3BC1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może zwrócić się do zamawiającego z wnioskiem o wyjaśnienie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:</w:t>
      </w:r>
    </w:p>
    <w:p w14:paraId="4BEAB604" w14:textId="244E74EE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06559EA2" w14:textId="77777777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1DB364E6" w14:textId="5F6E8256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 gdy wniosek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nie  wpłynął  w terminie,    o którym mowa  w pkt. 2.1,  zamawiający nie  ma  obowiązku udzielania  wyjaśnień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0632A04D" w14:textId="4A6BCD50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bieg terminu składania wniosku 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F3C6E28" w14:textId="77777777" w:rsidR="002A7529" w:rsidRPr="00DD3B35" w:rsidRDefault="002A7529" w:rsidP="009B4476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right="196" w:firstLine="0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491959B8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(Dz.U. 2022 poz. 1710 ze zmian.), zwanej dalej także Pzp. </w:t>
      </w:r>
    </w:p>
    <w:p w14:paraId="6C93CA26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C8BF60A" w14:textId="479A5DC5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7CBEF9A1" w14:textId="1C7D1101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zakresie nieuregulowanym niniejszą Specyfikacją Warunków Zamówienia, zwaną dalej także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zastosowanie mają przepisy Pzp.</w:t>
      </w:r>
    </w:p>
    <w:p w14:paraId="457B8FFF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3D1DFEAA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214 ust. 1 pkt  7) Pzp.</w:t>
      </w:r>
    </w:p>
    <w:p w14:paraId="42BFA68F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452D3E75" w:rsidR="002A6474" w:rsidRPr="00D42542" w:rsidRDefault="002A6474" w:rsidP="00D42542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D42542" w:rsidRPr="00D42542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sprzętu jednorazowego potrzebnego do funkcjonowania oddziałów szpitalnych</w:t>
      </w:r>
      <w:r w:rsidR="00D42542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D42542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C674AEB" w:rsidR="002A6474" w:rsidRPr="00DD3B35" w:rsidRDefault="002A6474" w:rsidP="009B4476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61B26330" w:rsidR="000A6963" w:rsidRPr="00DD3B35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Przedmiot zamówienia został podzielony na części.</w:t>
      </w:r>
      <w:r w:rsidR="0037665D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</w:t>
      </w:r>
      <w:r w:rsidR="00D27F91">
        <w:rPr>
          <w:rFonts w:ascii="Arial" w:eastAsia="Times New Roman" w:hAnsi="Arial" w:cs="Arial"/>
          <w:noProof/>
          <w:sz w:val="18"/>
          <w:szCs w:val="18"/>
          <w:lang w:eastAsia="pl-PL"/>
        </w:rPr>
        <w:t>ę</w:t>
      </w:r>
      <w:r w:rsidR="00CE1193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złożenie ofert częściowych</w:t>
      </w:r>
      <w:r w:rsidR="00D27F9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wybrany pakiet lub pakiety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lastRenderedPageBreak/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5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2"/>
      <w:bookmarkEnd w:id="1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313B976A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164E1E"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12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7EE11AE0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Agnieszka </w:t>
      </w:r>
      <w:r w:rsidR="00920C4C">
        <w:rPr>
          <w:rFonts w:ascii="Arial" w:eastAsia="Times New Roman" w:hAnsi="Arial" w:cs="Arial"/>
          <w:noProof/>
          <w:sz w:val="18"/>
          <w:szCs w:val="18"/>
          <w:lang w:eastAsia="pl-PL"/>
        </w:rPr>
        <w:t>Grzymkowska</w:t>
      </w:r>
      <w:r w:rsidR="00382BB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- 23 / 673 0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>4 1</w:t>
      </w:r>
      <w:r w:rsidR="00920C4C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DD3B35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FD73FF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6E59D683" w14:textId="4ACCD23C" w:rsidR="00FD73FF" w:rsidRPr="00DD3B35" w:rsidRDefault="00FD73FF" w:rsidP="006877C3">
      <w:pPr>
        <w:spacing w:after="0" w:line="240" w:lineRule="auto"/>
        <w:ind w:left="993" w:right="57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254AC" w:rsidRPr="00DD3B35" w14:paraId="555D139A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20943C" w14:textId="77777777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71D361D5" w14:textId="65E3B27D" w:rsidR="004254AC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FE3974" w:rsidRPr="00DD3B35" w14:paraId="27A7032D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0FA80" w14:textId="6364B46A" w:rsidR="00FE3974" w:rsidRPr="00DD3B35" w:rsidRDefault="00FE3974" w:rsidP="004254AC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FE3974" w:rsidRPr="00DD3B35" w14:paraId="062F35D0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D8A499" w14:textId="2E140C71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FE3974" w:rsidRPr="00DD3B35" w14:paraId="36197959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C5D216" w14:textId="0083592E" w:rsidR="00FE3974" w:rsidRPr="00DD3B35" w:rsidRDefault="00FE3974" w:rsidP="00FE3974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0BC6DA6F" w:rsidR="00B62B9E" w:rsidRPr="00DD3B35" w:rsidRDefault="00486704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                           </w:t>
      </w:r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</w:t>
      </w:r>
      <w:bookmarkStart w:id="25" w:name="_Hlk133583774"/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bookmarkEnd w:id="25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7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7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DFFAD8A" w14:textId="4DF091DF" w:rsidR="00574083" w:rsidRPr="00DD3B35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8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Jeżeli Wykonawca nie złoży przedmiotowych środków dowodowych, o których mowa w pkt. </w:t>
      </w:r>
      <w:r w:rsidR="006877C3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2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bookmarkEnd w:id="28"/>
    <w:p w14:paraId="55A07AF3" w14:textId="21333AF5" w:rsidR="007B1916" w:rsidRPr="00DD3B35" w:rsidRDefault="007B1916" w:rsidP="00FC002E">
      <w:pPr>
        <w:tabs>
          <w:tab w:val="left" w:pos="709"/>
        </w:tabs>
        <w:spacing w:after="0" w:line="240" w:lineRule="auto"/>
        <w:ind w:left="567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9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9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6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lastRenderedPageBreak/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30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618C3C49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3133EB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18.05.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1"/>
    </w:p>
    <w:p w14:paraId="2469D575" w14:textId="686EFEF3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3133EB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18.05.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2023,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2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3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4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3"/>
    <w:bookmarkEnd w:id="34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5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5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134DFF">
        <w:trPr>
          <w:trHeight w:val="647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134DFF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E0BE38B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193FC6D8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011B78AB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 xml:space="preserve">x </w:t>
            </w:r>
            <w:r w:rsidR="00134DFF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10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</w:tbl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XVIII. Informacje o formalnościach, jakie muszą zostać dopełnione po wyborze oferty w celu zawarcia umowy w sprawie zamówienia publicznego</w:t>
      </w:r>
      <w:bookmarkEnd w:id="37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8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8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333D" w14:textId="77777777" w:rsidR="003448E6" w:rsidRDefault="003448E6">
      <w:pPr>
        <w:spacing w:after="0" w:line="240" w:lineRule="auto"/>
      </w:pPr>
      <w:r>
        <w:separator/>
      </w:r>
    </w:p>
  </w:endnote>
  <w:endnote w:type="continuationSeparator" w:id="0">
    <w:p w14:paraId="197B5BA2" w14:textId="77777777" w:rsidR="003448E6" w:rsidRDefault="0034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5B25" w14:textId="77777777" w:rsidR="003448E6" w:rsidRDefault="003448E6">
      <w:pPr>
        <w:spacing w:after="0" w:line="240" w:lineRule="auto"/>
      </w:pPr>
      <w:r>
        <w:separator/>
      </w:r>
    </w:p>
  </w:footnote>
  <w:footnote w:type="continuationSeparator" w:id="0">
    <w:p w14:paraId="6E735E67" w14:textId="77777777" w:rsidR="003448E6" w:rsidRDefault="00344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4"/>
  </w:num>
  <w:num w:numId="9" w16cid:durableId="1678653608">
    <w:abstractNumId w:val="39"/>
  </w:num>
  <w:num w:numId="10" w16cid:durableId="829176468">
    <w:abstractNumId w:val="22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830873184">
    <w:abstractNumId w:val="41"/>
  </w:num>
  <w:num w:numId="16" w16cid:durableId="1042561719">
    <w:abstractNumId w:val="16"/>
  </w:num>
  <w:num w:numId="17" w16cid:durableId="1121532957">
    <w:abstractNumId w:val="35"/>
  </w:num>
  <w:num w:numId="18" w16cid:durableId="1517033888">
    <w:abstractNumId w:val="28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3"/>
  </w:num>
  <w:num w:numId="22" w16cid:durableId="1603224754">
    <w:abstractNumId w:val="27"/>
  </w:num>
  <w:num w:numId="23" w16cid:durableId="2104296194">
    <w:abstractNumId w:val="20"/>
  </w:num>
  <w:num w:numId="24" w16cid:durableId="7021767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29"/>
  </w:num>
  <w:num w:numId="26" w16cid:durableId="60174598">
    <w:abstractNumId w:val="11"/>
  </w:num>
  <w:num w:numId="27" w16cid:durableId="1949044073">
    <w:abstractNumId w:val="17"/>
  </w:num>
  <w:num w:numId="28" w16cid:durableId="1727726476">
    <w:abstractNumId w:val="19"/>
  </w:num>
  <w:num w:numId="29" w16cid:durableId="1134756815">
    <w:abstractNumId w:val="36"/>
  </w:num>
  <w:num w:numId="30" w16cid:durableId="115105423">
    <w:abstractNumId w:val="18"/>
  </w:num>
  <w:num w:numId="31" w16cid:durableId="15086007">
    <w:abstractNumId w:val="31"/>
  </w:num>
  <w:num w:numId="32" w16cid:durableId="756753556">
    <w:abstractNumId w:val="33"/>
  </w:num>
  <w:num w:numId="33" w16cid:durableId="47973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2"/>
  </w:num>
  <w:num w:numId="35" w16cid:durableId="951286875">
    <w:abstractNumId w:val="12"/>
  </w:num>
  <w:num w:numId="36" w16cid:durableId="1891530653">
    <w:abstractNumId w:val="40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3"/>
  </w:num>
  <w:num w:numId="42" w16cid:durableId="302078142">
    <w:abstractNumId w:val="25"/>
  </w:num>
  <w:num w:numId="43" w16cid:durableId="2010978658">
    <w:abstractNumId w:val="42"/>
  </w:num>
  <w:num w:numId="44" w16cid:durableId="103403736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53508"/>
    <w:rsid w:val="000672C5"/>
    <w:rsid w:val="00071727"/>
    <w:rsid w:val="000A48DB"/>
    <w:rsid w:val="000A6963"/>
    <w:rsid w:val="000B6237"/>
    <w:rsid w:val="000C74FF"/>
    <w:rsid w:val="000F1B90"/>
    <w:rsid w:val="00125658"/>
    <w:rsid w:val="00127E9E"/>
    <w:rsid w:val="00134DFF"/>
    <w:rsid w:val="0015784E"/>
    <w:rsid w:val="00161507"/>
    <w:rsid w:val="00164E1E"/>
    <w:rsid w:val="00177A35"/>
    <w:rsid w:val="00192016"/>
    <w:rsid w:val="001F2A9B"/>
    <w:rsid w:val="00202B9B"/>
    <w:rsid w:val="00202E63"/>
    <w:rsid w:val="00232500"/>
    <w:rsid w:val="00234930"/>
    <w:rsid w:val="00237172"/>
    <w:rsid w:val="0024790A"/>
    <w:rsid w:val="0025436E"/>
    <w:rsid w:val="00265410"/>
    <w:rsid w:val="002705CE"/>
    <w:rsid w:val="002875CD"/>
    <w:rsid w:val="002A6474"/>
    <w:rsid w:val="002A7529"/>
    <w:rsid w:val="002B0C64"/>
    <w:rsid w:val="00301AC8"/>
    <w:rsid w:val="003133EB"/>
    <w:rsid w:val="003214AC"/>
    <w:rsid w:val="00333E5F"/>
    <w:rsid w:val="003448E6"/>
    <w:rsid w:val="00345F59"/>
    <w:rsid w:val="003523B4"/>
    <w:rsid w:val="0037665D"/>
    <w:rsid w:val="00382BBC"/>
    <w:rsid w:val="00394952"/>
    <w:rsid w:val="00397972"/>
    <w:rsid w:val="003B6A39"/>
    <w:rsid w:val="003C3820"/>
    <w:rsid w:val="003E3BC6"/>
    <w:rsid w:val="00412F8B"/>
    <w:rsid w:val="00413042"/>
    <w:rsid w:val="00424AE5"/>
    <w:rsid w:val="004254AC"/>
    <w:rsid w:val="00486704"/>
    <w:rsid w:val="004B46DB"/>
    <w:rsid w:val="004C23FA"/>
    <w:rsid w:val="004C2BE9"/>
    <w:rsid w:val="004D36C5"/>
    <w:rsid w:val="004F49B4"/>
    <w:rsid w:val="00511E36"/>
    <w:rsid w:val="0052218C"/>
    <w:rsid w:val="00524B9F"/>
    <w:rsid w:val="00527088"/>
    <w:rsid w:val="00533E2D"/>
    <w:rsid w:val="005424A7"/>
    <w:rsid w:val="00574083"/>
    <w:rsid w:val="00575F51"/>
    <w:rsid w:val="0059014D"/>
    <w:rsid w:val="005921C6"/>
    <w:rsid w:val="005B4A58"/>
    <w:rsid w:val="005D60EB"/>
    <w:rsid w:val="005D6A3A"/>
    <w:rsid w:val="00604256"/>
    <w:rsid w:val="00616807"/>
    <w:rsid w:val="00650D3D"/>
    <w:rsid w:val="00677D48"/>
    <w:rsid w:val="00677D60"/>
    <w:rsid w:val="006877C3"/>
    <w:rsid w:val="00687FB4"/>
    <w:rsid w:val="00697087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5E2B"/>
    <w:rsid w:val="007979CA"/>
    <w:rsid w:val="007A35D3"/>
    <w:rsid w:val="007A5947"/>
    <w:rsid w:val="007B1916"/>
    <w:rsid w:val="007C65BD"/>
    <w:rsid w:val="007E09AC"/>
    <w:rsid w:val="007E2867"/>
    <w:rsid w:val="007F3B31"/>
    <w:rsid w:val="00802374"/>
    <w:rsid w:val="008169F8"/>
    <w:rsid w:val="0082685F"/>
    <w:rsid w:val="00840EF2"/>
    <w:rsid w:val="00850A59"/>
    <w:rsid w:val="008745E2"/>
    <w:rsid w:val="00876E23"/>
    <w:rsid w:val="00891316"/>
    <w:rsid w:val="008B4B7C"/>
    <w:rsid w:val="008D7FDE"/>
    <w:rsid w:val="008E1CF8"/>
    <w:rsid w:val="009053AA"/>
    <w:rsid w:val="00920C4C"/>
    <w:rsid w:val="009474DE"/>
    <w:rsid w:val="009500C1"/>
    <w:rsid w:val="00951D57"/>
    <w:rsid w:val="009539DC"/>
    <w:rsid w:val="009808F2"/>
    <w:rsid w:val="00981EF8"/>
    <w:rsid w:val="00984D4B"/>
    <w:rsid w:val="009928AC"/>
    <w:rsid w:val="009B4476"/>
    <w:rsid w:val="009C41B8"/>
    <w:rsid w:val="009F17CE"/>
    <w:rsid w:val="00A0577B"/>
    <w:rsid w:val="00A47B2B"/>
    <w:rsid w:val="00A7414C"/>
    <w:rsid w:val="00A750F7"/>
    <w:rsid w:val="00A9237F"/>
    <w:rsid w:val="00A93FE3"/>
    <w:rsid w:val="00AA4367"/>
    <w:rsid w:val="00AB61DB"/>
    <w:rsid w:val="00AC402F"/>
    <w:rsid w:val="00AC6389"/>
    <w:rsid w:val="00AE21CF"/>
    <w:rsid w:val="00AF030E"/>
    <w:rsid w:val="00B0792B"/>
    <w:rsid w:val="00B237E5"/>
    <w:rsid w:val="00B2582D"/>
    <w:rsid w:val="00B31D5D"/>
    <w:rsid w:val="00B62B9E"/>
    <w:rsid w:val="00B85BD2"/>
    <w:rsid w:val="00B932F7"/>
    <w:rsid w:val="00B9409E"/>
    <w:rsid w:val="00BD0940"/>
    <w:rsid w:val="00BD1B03"/>
    <w:rsid w:val="00BE1C3A"/>
    <w:rsid w:val="00C054E4"/>
    <w:rsid w:val="00C07BA7"/>
    <w:rsid w:val="00C15850"/>
    <w:rsid w:val="00C22E5B"/>
    <w:rsid w:val="00C40EA4"/>
    <w:rsid w:val="00C43A41"/>
    <w:rsid w:val="00C56AD6"/>
    <w:rsid w:val="00C724CF"/>
    <w:rsid w:val="00C8737F"/>
    <w:rsid w:val="00CE1193"/>
    <w:rsid w:val="00CF1AF8"/>
    <w:rsid w:val="00D07125"/>
    <w:rsid w:val="00D170E4"/>
    <w:rsid w:val="00D27F91"/>
    <w:rsid w:val="00D42542"/>
    <w:rsid w:val="00D514E3"/>
    <w:rsid w:val="00D6125A"/>
    <w:rsid w:val="00D828C3"/>
    <w:rsid w:val="00D84696"/>
    <w:rsid w:val="00D90B4A"/>
    <w:rsid w:val="00DA7E79"/>
    <w:rsid w:val="00DC18AF"/>
    <w:rsid w:val="00DD3B35"/>
    <w:rsid w:val="00DF0222"/>
    <w:rsid w:val="00DF5AF1"/>
    <w:rsid w:val="00E059F4"/>
    <w:rsid w:val="00E31BE6"/>
    <w:rsid w:val="00E40A1F"/>
    <w:rsid w:val="00E50860"/>
    <w:rsid w:val="00E77565"/>
    <w:rsid w:val="00E92A0D"/>
    <w:rsid w:val="00E93C49"/>
    <w:rsid w:val="00E96731"/>
    <w:rsid w:val="00EA6688"/>
    <w:rsid w:val="00EB05FE"/>
    <w:rsid w:val="00EB7190"/>
    <w:rsid w:val="00F03D51"/>
    <w:rsid w:val="00F124C3"/>
    <w:rsid w:val="00F15CEB"/>
    <w:rsid w:val="00F16BCA"/>
    <w:rsid w:val="00F249EC"/>
    <w:rsid w:val="00F44330"/>
    <w:rsid w:val="00F63EE1"/>
    <w:rsid w:val="00F74C1A"/>
    <w:rsid w:val="00F820B5"/>
    <w:rsid w:val="00F8438E"/>
    <w:rsid w:val="00F86619"/>
    <w:rsid w:val="00F9712C"/>
    <w:rsid w:val="00FC002E"/>
    <w:rsid w:val="00FD5EE4"/>
    <w:rsid w:val="00FD73FF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4311</Words>
  <Characters>25866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45</cp:revision>
  <cp:lastPrinted>2023-05-02T08:01:00Z</cp:lastPrinted>
  <dcterms:created xsi:type="dcterms:W3CDTF">2023-04-28T10:00:00Z</dcterms:created>
  <dcterms:modified xsi:type="dcterms:W3CDTF">2023-05-09T10:42:00Z</dcterms:modified>
</cp:coreProperties>
</file>