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22043C4A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727BF1">
        <w:rPr>
          <w:b/>
          <w:noProof/>
        </w:rPr>
        <w:t>51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9B91E18" w14:textId="7579D5DC" w:rsidR="00D6534D" w:rsidRDefault="00D6534D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D6534D">
        <w:rPr>
          <w:noProof/>
          <w:sz w:val="18"/>
          <w:u w:val="single"/>
        </w:rPr>
        <w:t xml:space="preserve">Implanty </w:t>
      </w:r>
      <w:r w:rsidR="00727BF1" w:rsidRPr="00727BF1">
        <w:rPr>
          <w:noProof/>
          <w:sz w:val="18"/>
          <w:u w:val="single"/>
        </w:rPr>
        <w:t>do endoprotezoplastyki stawów biodrowych</w:t>
      </w:r>
    </w:p>
    <w:p w14:paraId="6525CC7F" w14:textId="759C59AA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CC707D">
        <w:rPr>
          <w:sz w:val="18"/>
        </w:rPr>
        <w:t>097-304912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CC707D">
        <w:rPr>
          <w:sz w:val="18"/>
        </w:rPr>
        <w:t>22.05.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1318AD97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CC707D">
        <w:rPr>
          <w:noProof/>
        </w:rPr>
        <w:t>17.05.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3AA15A7B" w14:textId="77777777" w:rsidR="00D25140" w:rsidRDefault="00D25140" w:rsidP="007F1F9F">
      <w:pPr>
        <w:rPr>
          <w:noProof/>
        </w:rPr>
      </w:pPr>
    </w:p>
    <w:p w14:paraId="2BE2D50C" w14:textId="77777777" w:rsidR="00D25140" w:rsidRDefault="00D25140" w:rsidP="007F1F9F">
      <w:pPr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771790C6" w14:textId="77777777" w:rsidR="00D25140" w:rsidRDefault="00D25140" w:rsidP="007F1F9F">
      <w:pPr>
        <w:rPr>
          <w:noProof/>
        </w:rPr>
      </w:pPr>
    </w:p>
    <w:p w14:paraId="258B9A71" w14:textId="77777777" w:rsidR="00D25140" w:rsidRDefault="00D25140" w:rsidP="007F1F9F">
      <w:pPr>
        <w:rPr>
          <w:noProof/>
        </w:rPr>
      </w:pPr>
    </w:p>
    <w:p w14:paraId="5166355A" w14:textId="77777777" w:rsidR="00D25140" w:rsidRDefault="00D25140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2E71C2A3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4C7BF4">
        <w:rPr>
          <w:noProof/>
          <w:sz w:val="18"/>
        </w:rPr>
        <w:t>51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8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9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0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342E9AAA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</w:t>
      </w:r>
      <w:r w:rsidR="00E729DB" w:rsidRPr="00E729DB">
        <w:rPr>
          <w:b/>
          <w:bCs/>
          <w:noProof/>
          <w:snapToGrid w:val="0"/>
          <w:u w:val="single"/>
        </w:rPr>
        <w:t>implantów do endoprotezoplastyki stawów biodrowych</w:t>
      </w:r>
      <w:r w:rsidR="00D25140" w:rsidRPr="00D25140">
        <w:rPr>
          <w:b/>
          <w:bCs/>
          <w:noProof/>
          <w:snapToGrid w:val="0"/>
          <w:u w:val="single"/>
        </w:rPr>
        <w:t>.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106FEEB3" w14:textId="3682D1EA" w:rsidR="00416DAD" w:rsidRPr="00F81143" w:rsidRDefault="00416DAD">
      <w:pPr>
        <w:numPr>
          <w:ilvl w:val="0"/>
          <w:numId w:val="24"/>
        </w:numPr>
        <w:ind w:right="51" w:hanging="654"/>
        <w:rPr>
          <w:b/>
          <w:bCs/>
          <w:noProof/>
          <w:snapToGrid w:val="0"/>
        </w:rPr>
      </w:pPr>
      <w:r w:rsidRPr="00F81143">
        <w:rPr>
          <w:b/>
          <w:bCs/>
          <w:noProof/>
          <w:snapToGrid w:val="0"/>
        </w:rPr>
        <w:t>Udostępnienie w formie użyczenia</w:t>
      </w:r>
      <w:r w:rsidR="00245352">
        <w:rPr>
          <w:b/>
          <w:bCs/>
          <w:noProof/>
          <w:snapToGrid w:val="0"/>
        </w:rPr>
        <w:t>:</w:t>
      </w:r>
      <w:r w:rsidRPr="00F81143">
        <w:rPr>
          <w:b/>
          <w:bCs/>
          <w:noProof/>
          <w:snapToGrid w:val="0"/>
        </w:rPr>
        <w:t xml:space="preserve"> </w:t>
      </w:r>
      <w:r w:rsidRPr="00F81143">
        <w:rPr>
          <w:noProof/>
          <w:snapToGrid w:val="0"/>
        </w:rPr>
        <w:t>(załącznik nr 3a - projekt umowy użyczenia):</w:t>
      </w:r>
    </w:p>
    <w:p w14:paraId="714DE82F" w14:textId="0BBD243B" w:rsidR="00E729DB" w:rsidRPr="000342F7" w:rsidRDefault="00967D4A" w:rsidP="004D7153">
      <w:pPr>
        <w:pStyle w:val="Akapitzlist"/>
        <w:numPr>
          <w:ilvl w:val="0"/>
          <w:numId w:val="57"/>
        </w:numPr>
        <w:ind w:left="993" w:firstLine="141"/>
        <w:contextualSpacing/>
        <w:jc w:val="both"/>
        <w:rPr>
          <w:bCs/>
          <w:sz w:val="18"/>
          <w:lang w:eastAsia="pl-PL"/>
        </w:rPr>
      </w:pPr>
      <w:r>
        <w:rPr>
          <w:bCs/>
          <w:sz w:val="18"/>
          <w:lang w:eastAsia="pl-PL"/>
        </w:rPr>
        <w:t>Jednego napędu</w:t>
      </w:r>
      <w:r w:rsidR="00E729DB" w:rsidRPr="000342F7">
        <w:rPr>
          <w:bCs/>
          <w:sz w:val="18"/>
          <w:lang w:eastAsia="pl-PL"/>
        </w:rPr>
        <w:t xml:space="preserve"> medyczn</w:t>
      </w:r>
      <w:r>
        <w:rPr>
          <w:bCs/>
          <w:sz w:val="18"/>
          <w:lang w:eastAsia="pl-PL"/>
        </w:rPr>
        <w:t>ego</w:t>
      </w:r>
      <w:r w:rsidR="00E729DB" w:rsidRPr="000342F7">
        <w:rPr>
          <w:bCs/>
          <w:sz w:val="18"/>
          <w:lang w:eastAsia="pl-PL"/>
        </w:rPr>
        <w:t xml:space="preserve"> do zabiegów endoskopowych, 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308C46AF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665B14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2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5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6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7908BD7E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C954C3">
        <w:rPr>
          <w:b/>
          <w:bCs/>
          <w:noProof/>
          <w:color w:val="4472C4" w:themeColor="accent1"/>
          <w:u w:val="single"/>
          <w:lang w:bidi="pl-PL"/>
        </w:rPr>
        <w:t>02.09.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6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BEB6705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7" w:name="_Hlk71185337"/>
      <w:r w:rsidR="00CC707D">
        <w:rPr>
          <w:b/>
          <w:bCs/>
          <w:noProof/>
          <w:color w:val="4472C4" w:themeColor="accent1"/>
          <w:u w:val="single"/>
          <w:lang w:bidi="pl-PL"/>
        </w:rPr>
        <w:t>05.06.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7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8"/>
    </w:p>
    <w:p w14:paraId="55FCC2C7" w14:textId="316AE66F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CC707D">
        <w:rPr>
          <w:b/>
          <w:bCs/>
          <w:noProof/>
          <w:color w:val="4472C4" w:themeColor="accent1"/>
          <w:u w:val="single"/>
        </w:rPr>
        <w:t>05.06.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9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0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0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1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2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2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lastRenderedPageBreak/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3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3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3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6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0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5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9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0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5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8"/>
  </w:num>
  <w:num w:numId="8" w16cid:durableId="1627931306">
    <w:abstractNumId w:val="161"/>
  </w:num>
  <w:num w:numId="9" w16cid:durableId="229119222">
    <w:abstractNumId w:val="150"/>
  </w:num>
  <w:num w:numId="10" w16cid:durableId="1619722806">
    <w:abstractNumId w:val="125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3"/>
  </w:num>
  <w:num w:numId="15" w16cid:durableId="1155295279">
    <w:abstractNumId w:val="174"/>
  </w:num>
  <w:num w:numId="16" w16cid:durableId="1098255824">
    <w:abstractNumId w:val="83"/>
  </w:num>
  <w:num w:numId="17" w16cid:durableId="142738520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5"/>
  </w:num>
  <w:num w:numId="19" w16cid:durableId="737627903">
    <w:abstractNumId w:val="119"/>
  </w:num>
  <w:num w:numId="20" w16cid:durableId="567152022">
    <w:abstractNumId w:val="111"/>
  </w:num>
  <w:num w:numId="21" w16cid:durableId="208231072">
    <w:abstractNumId w:val="129"/>
  </w:num>
  <w:num w:numId="22" w16cid:durableId="40710457">
    <w:abstractNumId w:val="89"/>
  </w:num>
  <w:num w:numId="23" w16cid:durableId="37626719">
    <w:abstractNumId w:val="122"/>
  </w:num>
  <w:num w:numId="24" w16cid:durableId="921916498">
    <w:abstractNumId w:val="73"/>
  </w:num>
  <w:num w:numId="25" w16cid:durableId="699667619">
    <w:abstractNumId w:val="130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6"/>
  </w:num>
  <w:num w:numId="29" w16cid:durableId="200366027">
    <w:abstractNumId w:val="154"/>
  </w:num>
  <w:num w:numId="30" w16cid:durableId="688677235">
    <w:abstractNumId w:val="128"/>
  </w:num>
  <w:num w:numId="31" w16cid:durableId="1248348753">
    <w:abstractNumId w:val="179"/>
  </w:num>
  <w:num w:numId="32" w16cid:durableId="953514601">
    <w:abstractNumId w:val="107"/>
  </w:num>
  <w:num w:numId="33" w16cid:durableId="417144252">
    <w:abstractNumId w:val="155"/>
  </w:num>
  <w:num w:numId="34" w16cid:durableId="2087066911">
    <w:abstractNumId w:val="118"/>
  </w:num>
  <w:num w:numId="35" w16cid:durableId="1498577079">
    <w:abstractNumId w:val="134"/>
  </w:num>
  <w:num w:numId="36" w16cid:durableId="675154598">
    <w:abstractNumId w:val="100"/>
  </w:num>
  <w:num w:numId="37" w16cid:durableId="2144959943">
    <w:abstractNumId w:val="121"/>
  </w:num>
  <w:num w:numId="38" w16cid:durableId="447435240">
    <w:abstractNumId w:val="81"/>
  </w:num>
  <w:num w:numId="39" w16cid:durableId="2134129497">
    <w:abstractNumId w:val="115"/>
  </w:num>
  <w:num w:numId="40" w16cid:durableId="1159468113">
    <w:abstractNumId w:val="93"/>
  </w:num>
  <w:num w:numId="41" w16cid:durableId="611941418">
    <w:abstractNumId w:val="173"/>
  </w:num>
  <w:num w:numId="42" w16cid:durableId="467892947">
    <w:abstractNumId w:val="123"/>
  </w:num>
  <w:num w:numId="43" w16cid:durableId="881793440">
    <w:abstractNumId w:val="106"/>
  </w:num>
  <w:num w:numId="44" w16cid:durableId="1380477490">
    <w:abstractNumId w:val="120"/>
  </w:num>
  <w:num w:numId="45" w16cid:durableId="1286697559">
    <w:abstractNumId w:val="126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60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 w:numId="55" w16cid:durableId="943150618">
    <w:abstractNumId w:val="139"/>
  </w:num>
  <w:num w:numId="56" w16cid:durableId="1614557331">
    <w:abstractNumId w:val="109"/>
  </w:num>
  <w:num w:numId="57" w16cid:durableId="1293057261">
    <w:abstractNumId w:val="18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pobozy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4436</Words>
  <Characters>26618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30993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51</cp:revision>
  <cp:lastPrinted>2023-02-16T10:08:00Z</cp:lastPrinted>
  <dcterms:created xsi:type="dcterms:W3CDTF">2023-04-18T09:57:00Z</dcterms:created>
  <dcterms:modified xsi:type="dcterms:W3CDTF">2023-05-22T07:04:00Z</dcterms:modified>
</cp:coreProperties>
</file>