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DF13658" w14:textId="2472603B" w:rsidR="00852467" w:rsidRPr="00852467" w:rsidRDefault="00852467" w:rsidP="00852467">
      <w:pPr>
        <w:pStyle w:val="Tekstpodstawowy"/>
        <w:spacing w:before="10"/>
        <w:rPr>
          <w:bCs/>
          <w:iCs/>
        </w:rPr>
        <w:sectPr w:rsidR="00852467" w:rsidRPr="00852467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852467">
        <w:rPr>
          <w:bCs/>
          <w:iCs/>
        </w:rPr>
        <w:t>dotyczy postępowania ZP/2501/</w:t>
      </w:r>
      <w:r w:rsidR="00A11B15">
        <w:rPr>
          <w:bCs/>
          <w:iCs/>
        </w:rPr>
        <w:t>3</w:t>
      </w:r>
      <w:r w:rsidR="00496A17">
        <w:rPr>
          <w:bCs/>
          <w:iCs/>
        </w:rPr>
        <w:t>3</w:t>
      </w:r>
      <w:r w:rsidR="004054F6">
        <w:rPr>
          <w:bCs/>
          <w:iCs/>
        </w:rPr>
        <w:t>.1</w:t>
      </w:r>
      <w:r w:rsidRPr="00852467">
        <w:rPr>
          <w:bCs/>
          <w:iCs/>
        </w:rPr>
        <w:t>/2</w:t>
      </w:r>
      <w:r w:rsidR="00496A17">
        <w:rPr>
          <w:bCs/>
          <w:iCs/>
        </w:rPr>
        <w:t>3</w:t>
      </w:r>
      <w:r w:rsidRPr="00852467">
        <w:rPr>
          <w:bCs/>
          <w:iCs/>
        </w:rPr>
        <w:t xml:space="preserve"> – </w:t>
      </w:r>
      <w:r w:rsidR="00A11B15" w:rsidRPr="00A11B15">
        <w:rPr>
          <w:bCs/>
          <w:iCs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  <w:r w:rsidRPr="00852467">
        <w:rPr>
          <w:bCs/>
          <w:iCs/>
        </w:rPr>
        <w:t>.</w:t>
      </w:r>
    </w:p>
    <w:p w14:paraId="1F766EAC" w14:textId="77777777" w:rsidR="00A11B15" w:rsidRDefault="00A11B15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56AA22FE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1" w:name="III._Informacje_dotyczące_ceny_oferty;"/>
      <w:bookmarkEnd w:id="1"/>
      <w:r w:rsidR="00456629">
        <w:rPr>
          <w:sz w:val="18"/>
          <w:szCs w:val="18"/>
        </w:rPr>
        <w:t xml:space="preserve">: </w:t>
      </w:r>
      <w:r w:rsidR="00456629" w:rsidRPr="00456629">
        <w:rPr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6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1559"/>
        <w:gridCol w:w="1560"/>
      </w:tblGrid>
      <w:tr w:rsidR="0055258D" w:rsidRPr="00852467" w14:paraId="7A43DB97" w14:textId="7EE1B416" w:rsidTr="0055258D">
        <w:trPr>
          <w:trHeight w:val="417"/>
        </w:trPr>
        <w:tc>
          <w:tcPr>
            <w:tcW w:w="5877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559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55258D">
        <w:trPr>
          <w:trHeight w:val="111"/>
        </w:trPr>
        <w:tc>
          <w:tcPr>
            <w:tcW w:w="5877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55258D">
        <w:trPr>
          <w:trHeight w:val="446"/>
        </w:trPr>
        <w:tc>
          <w:tcPr>
            <w:tcW w:w="5877" w:type="dxa"/>
          </w:tcPr>
          <w:p w14:paraId="184C38C1" w14:textId="55210770" w:rsidR="0055258D" w:rsidRPr="00852467" w:rsidRDefault="0055258D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 w:rsidRPr="00456629">
              <w:rPr>
                <w:sz w:val="18"/>
                <w:szCs w:val="18"/>
              </w:rPr>
              <w:t>Opracowanie dokumentacji  projektowej  oraz specyfikacji technicznej wykonania i odbioru robót budowlanych, realizowanych w ramach zadania pn. Przebudowa instalacji wodnych na terenie Specjalistycznego Szpitala Wojewódzkiego w Ciechanowie.</w:t>
            </w:r>
          </w:p>
        </w:tc>
        <w:tc>
          <w:tcPr>
            <w:tcW w:w="1559" w:type="dxa"/>
          </w:tcPr>
          <w:p w14:paraId="3F29F232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58D" w:rsidRPr="00852467" w14:paraId="0522D4D3" w14:textId="77777777" w:rsidTr="0055258D">
        <w:trPr>
          <w:trHeight w:val="446"/>
        </w:trPr>
        <w:tc>
          <w:tcPr>
            <w:tcW w:w="5877" w:type="dxa"/>
          </w:tcPr>
          <w:p w14:paraId="7B7560BA" w14:textId="5A9D4891" w:rsidR="0055258D" w:rsidRPr="00456629" w:rsidRDefault="0055258D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Nadzór autorski nad robotami budowlanymi prowadzonymi w oparciu o dokumentację, o której mowa powyżej</w:t>
            </w:r>
          </w:p>
        </w:tc>
        <w:tc>
          <w:tcPr>
            <w:tcW w:w="1559" w:type="dxa"/>
          </w:tcPr>
          <w:p w14:paraId="610CB308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F3D36AA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58D" w:rsidRPr="00852467" w14:paraId="0D95152A" w14:textId="77777777" w:rsidTr="0055258D">
        <w:trPr>
          <w:trHeight w:val="446"/>
        </w:trPr>
        <w:tc>
          <w:tcPr>
            <w:tcW w:w="5877" w:type="dxa"/>
          </w:tcPr>
          <w:p w14:paraId="62A9979B" w14:textId="2986F93A" w:rsidR="0055258D" w:rsidRDefault="0055258D" w:rsidP="0055258D">
            <w:pPr>
              <w:pStyle w:val="TableParagraph"/>
              <w:ind w:lef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1559" w:type="dxa"/>
          </w:tcPr>
          <w:p w14:paraId="1F2A06D4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A54AD9C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53B07617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33AF2F24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1FF8E4EB" w14:textId="026B79E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85246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55258D" w14:paraId="14E804F4" w14:textId="77777777" w:rsidTr="0055258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6AC" w14:textId="77777777" w:rsidR="0055258D" w:rsidRDefault="0055258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3" w:name="_Hlk129166901"/>
            <w:bookmarkEnd w:id="2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bookmarkEnd w:id="3"/>
    </w:tbl>
    <w:p w14:paraId="67424BCF" w14:textId="49B476C2" w:rsidR="00B910F5" w:rsidRPr="00852467" w:rsidRDefault="00B910F5" w:rsidP="00A97D8F">
      <w:pPr>
        <w:pStyle w:val="Tekstpodstawowy"/>
        <w:spacing w:before="135"/>
        <w:ind w:left="5195" w:right="102"/>
      </w:pPr>
    </w:p>
    <w:sectPr w:rsidR="00B910F5" w:rsidRPr="00852467" w:rsidSect="004D0DCC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A641" w14:textId="77777777" w:rsidR="002E5B6B" w:rsidRDefault="002E5B6B" w:rsidP="004A4A3A">
      <w:r>
        <w:separator/>
      </w:r>
    </w:p>
  </w:endnote>
  <w:endnote w:type="continuationSeparator" w:id="0">
    <w:p w14:paraId="306BA741" w14:textId="77777777" w:rsidR="002E5B6B" w:rsidRDefault="002E5B6B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787F" w14:textId="77777777" w:rsidR="002E5B6B" w:rsidRDefault="002E5B6B" w:rsidP="004A4A3A">
      <w:r>
        <w:separator/>
      </w:r>
    </w:p>
  </w:footnote>
  <w:footnote w:type="continuationSeparator" w:id="0">
    <w:p w14:paraId="1ADF1949" w14:textId="77777777" w:rsidR="002E5B6B" w:rsidRDefault="002E5B6B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4266"/>
    <w:rsid w:val="001B23C0"/>
    <w:rsid w:val="002E5B6B"/>
    <w:rsid w:val="00321E06"/>
    <w:rsid w:val="0034134D"/>
    <w:rsid w:val="0035144F"/>
    <w:rsid w:val="00362512"/>
    <w:rsid w:val="00374DD9"/>
    <w:rsid w:val="004054F6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53DF4"/>
    <w:rsid w:val="0066234D"/>
    <w:rsid w:val="00676D83"/>
    <w:rsid w:val="006F2239"/>
    <w:rsid w:val="00750299"/>
    <w:rsid w:val="00830F85"/>
    <w:rsid w:val="00852467"/>
    <w:rsid w:val="008634EB"/>
    <w:rsid w:val="00896626"/>
    <w:rsid w:val="008D1045"/>
    <w:rsid w:val="008F13DA"/>
    <w:rsid w:val="009A5EE4"/>
    <w:rsid w:val="009B4A22"/>
    <w:rsid w:val="009E1369"/>
    <w:rsid w:val="00A11B15"/>
    <w:rsid w:val="00A74BED"/>
    <w:rsid w:val="00A97D8F"/>
    <w:rsid w:val="00AA630A"/>
    <w:rsid w:val="00B910F5"/>
    <w:rsid w:val="00C444EA"/>
    <w:rsid w:val="00D24CB1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7</cp:revision>
  <cp:lastPrinted>2021-07-19T06:55:00Z</cp:lastPrinted>
  <dcterms:created xsi:type="dcterms:W3CDTF">2023-03-20T09:10:00Z</dcterms:created>
  <dcterms:modified xsi:type="dcterms:W3CDTF">2023-05-24T09:09:00Z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