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1878CA51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6319D3">
        <w:rPr>
          <w:bCs/>
          <w:sz w:val="20"/>
          <w:szCs w:val="20"/>
        </w:rPr>
        <w:t>6</w:t>
      </w:r>
      <w:r w:rsidR="007E1C50">
        <w:rPr>
          <w:bCs/>
          <w:sz w:val="20"/>
          <w:szCs w:val="20"/>
        </w:rPr>
        <w:t>9</w:t>
      </w:r>
      <w:r w:rsidRPr="00E30D1A">
        <w:rPr>
          <w:bCs/>
          <w:sz w:val="20"/>
          <w:szCs w:val="20"/>
        </w:rPr>
        <w:t xml:space="preserve">/23 </w:t>
      </w:r>
      <w:r w:rsidRPr="00426DD2">
        <w:rPr>
          <w:b/>
          <w:sz w:val="20"/>
          <w:szCs w:val="20"/>
        </w:rPr>
        <w:t xml:space="preserve">– </w:t>
      </w:r>
      <w:r w:rsidR="00FA79D2" w:rsidRPr="00426DD2">
        <w:rPr>
          <w:b/>
          <w:sz w:val="20"/>
          <w:szCs w:val="20"/>
        </w:rPr>
        <w:t xml:space="preserve">dostawę </w:t>
      </w:r>
      <w:r w:rsidR="006319D3" w:rsidRPr="006319D3">
        <w:rPr>
          <w:b/>
          <w:sz w:val="20"/>
          <w:szCs w:val="20"/>
        </w:rPr>
        <w:t xml:space="preserve">sprzętu </w:t>
      </w:r>
      <w:r w:rsidR="007E1C50">
        <w:rPr>
          <w:b/>
          <w:sz w:val="20"/>
          <w:szCs w:val="20"/>
        </w:rPr>
        <w:t xml:space="preserve">medycznego </w:t>
      </w:r>
      <w:r w:rsidR="006319D3" w:rsidRPr="006319D3">
        <w:rPr>
          <w:b/>
          <w:sz w:val="20"/>
          <w:szCs w:val="20"/>
        </w:rPr>
        <w:t>jednorazowego</w:t>
      </w:r>
      <w:r w:rsidR="007E1C50">
        <w:rPr>
          <w:b/>
          <w:sz w:val="20"/>
          <w:szCs w:val="20"/>
        </w:rPr>
        <w:t>.</w:t>
      </w:r>
      <w:r w:rsidR="006319D3" w:rsidRPr="006319D3">
        <w:rPr>
          <w:b/>
          <w:sz w:val="20"/>
          <w:szCs w:val="20"/>
        </w:rPr>
        <w:t xml:space="preserve"> 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07E6F" w14:textId="77777777" w:rsidR="00F16A1F" w:rsidRDefault="00F16A1F" w:rsidP="0020009C">
      <w:r>
        <w:separator/>
      </w:r>
    </w:p>
  </w:endnote>
  <w:endnote w:type="continuationSeparator" w:id="0">
    <w:p w14:paraId="466DAF3E" w14:textId="77777777" w:rsidR="00F16A1F" w:rsidRDefault="00F16A1F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7538" w14:textId="77777777" w:rsidR="00F16A1F" w:rsidRDefault="00F16A1F" w:rsidP="0020009C">
      <w:r>
        <w:separator/>
      </w:r>
    </w:p>
  </w:footnote>
  <w:footnote w:type="continuationSeparator" w:id="0">
    <w:p w14:paraId="3F15C459" w14:textId="77777777" w:rsidR="00F16A1F" w:rsidRDefault="00F16A1F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4972B7"/>
    <w:rsid w:val="00542C65"/>
    <w:rsid w:val="00570E7D"/>
    <w:rsid w:val="005941E0"/>
    <w:rsid w:val="005E3CF8"/>
    <w:rsid w:val="006319D3"/>
    <w:rsid w:val="0063770D"/>
    <w:rsid w:val="00644382"/>
    <w:rsid w:val="0066209C"/>
    <w:rsid w:val="00681C30"/>
    <w:rsid w:val="0068663A"/>
    <w:rsid w:val="00756E85"/>
    <w:rsid w:val="0075729E"/>
    <w:rsid w:val="007E1C50"/>
    <w:rsid w:val="008311DF"/>
    <w:rsid w:val="00886A6F"/>
    <w:rsid w:val="00942045"/>
    <w:rsid w:val="00950EB0"/>
    <w:rsid w:val="009727E5"/>
    <w:rsid w:val="00A001A9"/>
    <w:rsid w:val="00AB2FAB"/>
    <w:rsid w:val="00B144D2"/>
    <w:rsid w:val="00B61C70"/>
    <w:rsid w:val="00B65BDC"/>
    <w:rsid w:val="00B945A7"/>
    <w:rsid w:val="00BB0D45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EE5F0E"/>
    <w:rsid w:val="00F10449"/>
    <w:rsid w:val="00F109ED"/>
    <w:rsid w:val="00F16A1F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11</cp:revision>
  <dcterms:created xsi:type="dcterms:W3CDTF">2023-03-24T07:32:00Z</dcterms:created>
  <dcterms:modified xsi:type="dcterms:W3CDTF">2023-07-04T07:54:00Z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