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7D9072CA" w14:textId="77777777" w:rsidR="004D362D" w:rsidRDefault="004D362D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4D362D">
        <w:rPr>
          <w:bCs/>
          <w:sz w:val="20"/>
          <w:szCs w:val="20"/>
        </w:rPr>
        <w:t xml:space="preserve">Dotyczy: postępowania pn. sprzętu z dziedziny intensywnej terapii, stosowanego w opiece nad pacjentami kardiologicznymi w 2023r.– znak /2501/105/23                                                                                                                                                             </w:t>
      </w:r>
    </w:p>
    <w:p w14:paraId="6D16A58B" w14:textId="28772342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972D83A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2022 poz. 1710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4D362D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7B1833"/>
    <w:rsid w:val="008311DF"/>
    <w:rsid w:val="00836EFC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7</cp:revision>
  <dcterms:created xsi:type="dcterms:W3CDTF">2023-09-01T10:58:00Z</dcterms:created>
  <dcterms:modified xsi:type="dcterms:W3CDTF">2023-10-25T07:39:00Z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