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56C79DE0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1B2893">
        <w:rPr>
          <w:rFonts w:ascii="Arial" w:eastAsia="Times New Roman" w:hAnsi="Arial" w:cs="Arial"/>
          <w:i/>
          <w:sz w:val="18"/>
          <w:szCs w:val="18"/>
          <w:lang w:eastAsia="pl-PL"/>
        </w:rPr>
        <w:t>N</w:t>
      </w:r>
      <w:r w:rsidR="00682F52">
        <w:rPr>
          <w:rFonts w:ascii="Arial" w:eastAsia="Times New Roman" w:hAnsi="Arial" w:cs="Arial"/>
          <w:i/>
          <w:sz w:val="18"/>
          <w:szCs w:val="18"/>
          <w:lang w:eastAsia="pl-PL"/>
        </w:rPr>
        <w:t>arzędzi</w:t>
      </w:r>
      <w:r w:rsidR="001B2893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  <w:r w:rsidR="00682F5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endoskopow</w:t>
      </w:r>
      <w:r w:rsidR="001B2893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i/>
          <w:sz w:val="18"/>
          <w:szCs w:val="18"/>
          <w:lang w:eastAsia="pl-PL"/>
        </w:rPr>
        <w:t>10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/23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50C93584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33AE64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1B2893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682F52">
        <w:rPr>
          <w:rFonts w:ascii="Arial" w:hAnsi="Arial" w:cs="Arial"/>
          <w:b/>
          <w:bCs/>
          <w:sz w:val="18"/>
          <w:szCs w:val="18"/>
        </w:rPr>
        <w:t xml:space="preserve">narzędzi endoskopowych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70A3F116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82F5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0859BE4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7A5EDA70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360B5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11</cp:revision>
  <cp:lastPrinted>2023-11-09T08:48:00Z</cp:lastPrinted>
  <dcterms:created xsi:type="dcterms:W3CDTF">2023-10-13T11:22:00Z</dcterms:created>
  <dcterms:modified xsi:type="dcterms:W3CDTF">2023-11-09T08:48:00Z</dcterms:modified>
</cp:coreProperties>
</file>