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229FF70" w14:textId="77777777" w:rsidR="00674625" w:rsidRPr="00D73488" w:rsidRDefault="00674625" w:rsidP="00674625">
      <w:pPr>
        <w:pStyle w:val="Tekstpodstawowy"/>
        <w:spacing w:before="1"/>
        <w:rPr>
          <w:rFonts w:ascii="Arial" w:hAnsi="Arial" w:cs="Arial"/>
          <w:i/>
          <w:iCs/>
          <w:sz w:val="18"/>
          <w:szCs w:val="18"/>
        </w:rPr>
      </w:pPr>
      <w:r w:rsidRPr="00D73488">
        <w:rPr>
          <w:rFonts w:ascii="Arial" w:hAnsi="Arial" w:cs="Arial"/>
          <w:i/>
          <w:iCs/>
          <w:sz w:val="18"/>
          <w:szCs w:val="18"/>
        </w:rPr>
        <w:t>Załącznik nr 1a – formularz ofertowy techniczny</w:t>
      </w:r>
    </w:p>
    <w:p w14:paraId="1039459B" w14:textId="77777777" w:rsidR="00674625" w:rsidRPr="00D73488" w:rsidRDefault="00674625" w:rsidP="00674625">
      <w:pPr>
        <w:pStyle w:val="Tekstpodstawowy"/>
        <w:spacing w:before="1"/>
        <w:rPr>
          <w:rFonts w:ascii="Arial" w:hAnsi="Arial" w:cs="Arial"/>
          <w:i/>
          <w:iCs/>
          <w:sz w:val="18"/>
          <w:szCs w:val="18"/>
        </w:rPr>
      </w:pPr>
      <w:r w:rsidRPr="00D73488">
        <w:rPr>
          <w:rFonts w:ascii="Arial" w:hAnsi="Arial" w:cs="Arial"/>
          <w:i/>
          <w:iCs/>
          <w:sz w:val="18"/>
          <w:szCs w:val="18"/>
        </w:rPr>
        <w:t xml:space="preserve">Postępowanie Zakup wyposażenia medycznego i technicznego </w:t>
      </w:r>
    </w:p>
    <w:p w14:paraId="002FFD97" w14:textId="77777777" w:rsidR="00674625" w:rsidRPr="00D73488" w:rsidRDefault="00674625" w:rsidP="00674625">
      <w:pPr>
        <w:pStyle w:val="Tekstpodstawowy"/>
        <w:spacing w:before="1"/>
        <w:rPr>
          <w:rFonts w:ascii="Arial" w:hAnsi="Arial" w:cs="Arial"/>
          <w:i/>
          <w:iCs/>
          <w:sz w:val="18"/>
          <w:szCs w:val="18"/>
        </w:rPr>
      </w:pPr>
      <w:r w:rsidRPr="00D73488">
        <w:rPr>
          <w:rFonts w:ascii="Arial" w:hAnsi="Arial" w:cs="Arial"/>
          <w:i/>
          <w:iCs/>
          <w:sz w:val="18"/>
          <w:szCs w:val="18"/>
        </w:rPr>
        <w:t>dla Oddziału Hematologicznego SSzW w Ciechanowie (znak: ZP/2501/114/23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1E757062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D50584" w:rsidRPr="00D50584">
        <w:rPr>
          <w:rFonts w:ascii="Arial" w:hAnsi="Arial" w:cs="Arial"/>
          <w:b/>
          <w:bCs/>
          <w:sz w:val="18"/>
          <w:szCs w:val="18"/>
        </w:rPr>
        <w:t>Pompa infuzyjna objętościowa</w:t>
      </w:r>
      <w:r w:rsidR="00D50584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D50584">
        <w:rPr>
          <w:rFonts w:ascii="Arial" w:hAnsi="Arial" w:cs="Arial"/>
          <w:b/>
          <w:bCs/>
          <w:sz w:val="18"/>
          <w:szCs w:val="18"/>
        </w:rPr>
        <w:t>6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14" w:type="dxa"/>
        <w:tblInd w:w="-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265"/>
        <w:gridCol w:w="2105"/>
        <w:gridCol w:w="2674"/>
      </w:tblGrid>
      <w:tr w:rsidR="00DD1D50" w:rsidRPr="0051588E" w14:paraId="5526A74F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4F1214" w14:textId="77777777" w:rsidR="00DD1D50" w:rsidRPr="0051588E" w:rsidRDefault="00DD1D5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265" w:type="dxa"/>
            <w:shd w:val="clear" w:color="auto" w:fill="auto"/>
            <w:vAlign w:val="center"/>
          </w:tcPr>
          <w:p w14:paraId="04756881" w14:textId="77777777" w:rsidR="00DD1D50" w:rsidRPr="0051588E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1588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51588E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2736CB2C" w14:textId="77777777" w:rsidR="00DD1D50" w:rsidRPr="0051588E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74" w:type="dxa"/>
            <w:shd w:val="clear" w:color="auto" w:fill="auto"/>
          </w:tcPr>
          <w:p w14:paraId="7C1D1433" w14:textId="77777777" w:rsidR="00DD1D50" w:rsidRPr="0051588E" w:rsidRDefault="00DD1D50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029CD1BB" w14:textId="77777777" w:rsidR="00DD1D50" w:rsidRPr="0051588E" w:rsidRDefault="00DD1D50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DD1D50" w:rsidRPr="0051588E" w14:paraId="3206717D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6ED5A44" w14:textId="77777777" w:rsidR="00DD1D50" w:rsidRPr="0051588E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1AACC802" w14:textId="77777777" w:rsidR="00DD1D50" w:rsidRPr="0051588E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7181BE61" w14:textId="77777777" w:rsidR="00DD1D50" w:rsidRPr="0051588E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9717E49" w14:textId="77777777" w:rsidR="00DD1D50" w:rsidRPr="0051588E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75677CCB" w14:textId="77777777" w:rsidTr="006A67C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C3CA060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</w:tcPr>
          <w:p w14:paraId="7CE16627" w14:textId="7A85C8C3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 xml:space="preserve">Pompa objętościowa do podawania dożylnego, dotętniczego i dojelitowego sterowana  elektronicznie umożliwiająca współpracę z systemem centralnego zasilania i zarządzania danymi 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6E18D9DB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A6A91C8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4F57795A" w14:textId="77777777" w:rsidTr="006A67C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2B8177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</w:tcPr>
          <w:p w14:paraId="061286AE" w14:textId="7973D0DB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 xml:space="preserve">Funkcja podaży preparatów krwiopochodnych, potwierdzone ofertą odpowiednich drenów 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0FC56987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36E08E2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6C056A4C" w14:textId="77777777" w:rsidTr="006A67C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9D754D3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</w:tcPr>
          <w:p w14:paraId="04DE0869" w14:textId="6B2050AD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 xml:space="preserve">Mechanizm zabezpieczający przed swobodnym niekontrolowanym przepływem składający się z dwóch elementów – jeden w pompie jeden na drenie. </w:t>
            </w:r>
            <w:r w:rsidRPr="0051588E">
              <w:rPr>
                <w:rFonts w:ascii="Arial" w:hAnsi="Arial" w:cs="Arial"/>
                <w:bCs/>
                <w:sz w:val="18"/>
                <w:szCs w:val="18"/>
              </w:rPr>
              <w:t xml:space="preserve">Kolorystyczne kodowanie zacisków szczelinowych </w:t>
            </w:r>
            <w:r w:rsidRPr="0051588E">
              <w:rPr>
                <w:rFonts w:ascii="Arial" w:hAnsi="Arial" w:cs="Arial"/>
                <w:sz w:val="18"/>
                <w:szCs w:val="18"/>
              </w:rPr>
              <w:t xml:space="preserve">w zależności od stosowanej terapii. 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54F54AE2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146966B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7CCFF9AA" w14:textId="77777777" w:rsidTr="006A67C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CBE73D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</w:tcPr>
          <w:p w14:paraId="7772CBED" w14:textId="51C3E512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 xml:space="preserve">Napięcie co najmniej 11-16 V DC, zasilanie przy użyciu zasilacza zewnętrznego lub stacji dokującej 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0A0628DB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95A0073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0F90D462" w14:textId="77777777" w:rsidTr="006A67C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1A9F04F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</w:tcPr>
          <w:p w14:paraId="7F74E2C8" w14:textId="6337D6DA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Dokładność mechaniczna ≤±</w:t>
            </w:r>
            <w:r w:rsidRPr="0051588E">
              <w:rPr>
                <w:rFonts w:ascii="Arial" w:hAnsi="Arial" w:cs="Arial"/>
                <w:bCs/>
                <w:sz w:val="18"/>
                <w:szCs w:val="18"/>
              </w:rPr>
              <w:t>0,5%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422D1BED" w14:textId="710D5B07" w:rsidR="0051588E" w:rsidRPr="0051588E" w:rsidRDefault="0051588E" w:rsidP="0051588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79523F2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54DD5926" w14:textId="77777777" w:rsidTr="006A67C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30626F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</w:tcPr>
          <w:p w14:paraId="553D03F4" w14:textId="703A57F0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 xml:space="preserve">Zasilanie z akumulatora wewnętrznego min 12 h. przy przepływie 100 ml/h. 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20CD9A5C" w14:textId="286A1F6B" w:rsidR="0051588E" w:rsidRPr="0051588E" w:rsidRDefault="0051588E" w:rsidP="0051588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AA7726C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3E9503F7" w14:textId="77777777" w:rsidTr="006A67C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AB1DE52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</w:tcPr>
          <w:p w14:paraId="24AACFA0" w14:textId="094C7DDD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Masa pompy poniżej 1,5kg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47EBECD0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0E8D08A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29210E4A" w14:textId="77777777" w:rsidTr="006A67C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5C5FFA8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</w:tcPr>
          <w:p w14:paraId="47EDC392" w14:textId="56853B82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Uchwyt do przenoszenia do 3 pomp nie wymagający dodatkowych elementów.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0774957A" w14:textId="77777777" w:rsidR="0051588E" w:rsidRPr="0051588E" w:rsidRDefault="0051588E" w:rsidP="005158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E973034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6A3B6A0F" w14:textId="77777777" w:rsidTr="006A67C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2DE6B9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</w:tcPr>
          <w:p w14:paraId="1FF9501A" w14:textId="5048DB38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Podświetlany ekran i przyciski z możliwością regulacji na min.  9 poziomach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3A82C9E4" w14:textId="77777777" w:rsidR="0051588E" w:rsidRPr="0051588E" w:rsidRDefault="0051588E" w:rsidP="005158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687FE81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3DBA12EE" w14:textId="77777777" w:rsidTr="006A67C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460C16E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</w:tcPr>
          <w:p w14:paraId="0EE955BB" w14:textId="160EC9E4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Różne tryby infuzji:  Wzrost-utrzymanie-spadek; programowanie min. 12 cykli o różnych parametrach; podaż okresowa z przerwami; dawka w czasie; kalkulacja prędkości dawki.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288AA653" w14:textId="77777777" w:rsidR="0051588E" w:rsidRPr="0051588E" w:rsidRDefault="0051588E" w:rsidP="005158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A1B8B40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173485AB" w14:textId="77777777" w:rsidTr="006A67C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7517E5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</w:tcPr>
          <w:p w14:paraId="75226116" w14:textId="5063DB70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 xml:space="preserve">Funkcja programowania parametrów infuzji w mg, </w:t>
            </w:r>
            <w:proofErr w:type="spellStart"/>
            <w:r w:rsidRPr="0051588E">
              <w:rPr>
                <w:rFonts w:ascii="Arial" w:hAnsi="Arial" w:cs="Arial"/>
                <w:sz w:val="18"/>
                <w:szCs w:val="18"/>
              </w:rPr>
              <w:t>mcg</w:t>
            </w:r>
            <w:proofErr w:type="spellEnd"/>
            <w:r w:rsidRPr="0051588E">
              <w:rPr>
                <w:rFonts w:ascii="Arial" w:hAnsi="Arial" w:cs="Arial"/>
                <w:sz w:val="18"/>
                <w:szCs w:val="18"/>
              </w:rPr>
              <w:t xml:space="preserve">, U lub </w:t>
            </w:r>
            <w:proofErr w:type="spellStart"/>
            <w:r w:rsidRPr="0051588E">
              <w:rPr>
                <w:rFonts w:ascii="Arial" w:hAnsi="Arial" w:cs="Arial"/>
                <w:sz w:val="18"/>
                <w:szCs w:val="18"/>
              </w:rPr>
              <w:t>mmol</w:t>
            </w:r>
            <w:proofErr w:type="spellEnd"/>
            <w:r w:rsidRPr="0051588E">
              <w:rPr>
                <w:rFonts w:ascii="Arial" w:hAnsi="Arial" w:cs="Arial"/>
                <w:sz w:val="18"/>
                <w:szCs w:val="18"/>
              </w:rPr>
              <w:t xml:space="preserve">,   z uwzględnieniem lub nie masy ciała w odniesieniu do czasu (np. mg/kg/min; mg/kg/h; mg/kg/24h) 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42F39256" w14:textId="77777777" w:rsidR="0051588E" w:rsidRPr="0051588E" w:rsidRDefault="0051588E" w:rsidP="005158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541C523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5ACE0547" w14:textId="77777777" w:rsidTr="006A67C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4F89C34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</w:tcPr>
          <w:p w14:paraId="608D61BD" w14:textId="21E6269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 xml:space="preserve">Zakres prędkości infuzji min. 0,1 do 1 200 ml/h  Prędkość infuzji w zakresie od 0,1 - 99,99ml/h programowana co 0,01ml/godz. 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2AEB6A40" w14:textId="77777777" w:rsidR="0051588E" w:rsidRPr="0051588E" w:rsidRDefault="0051588E" w:rsidP="005158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457E3E1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336B1623" w14:textId="77777777" w:rsidTr="006A67C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CAD6D21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</w:tcPr>
          <w:p w14:paraId="144059E4" w14:textId="15632C99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 xml:space="preserve">Funkcja programowania objętości do podania (VTBD) min. 9999 ml. 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03C53D93" w14:textId="77777777" w:rsidR="0051588E" w:rsidRPr="0051588E" w:rsidRDefault="0051588E" w:rsidP="005158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0D7D74A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5458DF24" w14:textId="77777777" w:rsidTr="006A67C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E3D17E7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</w:tcPr>
          <w:p w14:paraId="78CAD4ED" w14:textId="18B2B6D6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 xml:space="preserve">Zmiana szybkości infuzji bez konieczności przerywania wlewu. 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18578A67" w14:textId="77777777" w:rsidR="0051588E" w:rsidRPr="0051588E" w:rsidRDefault="0051588E" w:rsidP="005158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1654018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72484B3D" w14:textId="77777777" w:rsidTr="006A67C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0753CD2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</w:tcPr>
          <w:p w14:paraId="5CAB2ED6" w14:textId="1B1CEDA3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 xml:space="preserve">Prędkość infuzji w zakresie od 0,1 - 99,99ml/h programowana co 0,01ml/godz.  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2E30ACF9" w14:textId="77777777" w:rsidR="0051588E" w:rsidRPr="0051588E" w:rsidRDefault="0051588E" w:rsidP="005158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C688F25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5E991603" w14:textId="77777777" w:rsidTr="006A67C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7B6A54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</w:tcPr>
          <w:p w14:paraId="4BAB0C6E" w14:textId="3FD53B0A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 xml:space="preserve">Możliwość utworzenia Bazy Leków używanych w </w:t>
            </w:r>
            <w:proofErr w:type="spellStart"/>
            <w:r w:rsidRPr="0051588E">
              <w:rPr>
                <w:rFonts w:ascii="Arial" w:hAnsi="Arial" w:cs="Arial"/>
                <w:sz w:val="18"/>
                <w:szCs w:val="18"/>
              </w:rPr>
              <w:t>infuzjoterapii</w:t>
            </w:r>
            <w:proofErr w:type="spellEnd"/>
            <w:r w:rsidRPr="0051588E">
              <w:rPr>
                <w:rFonts w:ascii="Arial" w:hAnsi="Arial" w:cs="Arial"/>
                <w:sz w:val="18"/>
                <w:szCs w:val="18"/>
              </w:rPr>
              <w:t xml:space="preserve"> na terenie szpitala  z możliwością zastosowania do tworzenia Bibliotek Leków na poszczególne oddziały, co najmniej 50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7C08B1B9" w14:textId="77777777" w:rsidR="0051588E" w:rsidRPr="0051588E" w:rsidRDefault="0051588E" w:rsidP="005158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496F745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74FC7392" w14:textId="77777777" w:rsidTr="006A67C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1EE6C59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</w:tcPr>
          <w:p w14:paraId="22BF6475" w14:textId="7246CAA4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 xml:space="preserve">Biblioteka Leków zawierająca min.1200 leków z możliwością podzielenia na min.30 grup. 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237D92FB" w14:textId="0A4419BA" w:rsidR="0051588E" w:rsidRPr="0051588E" w:rsidRDefault="0051588E" w:rsidP="0051588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37C5CAF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6D9E76EB" w14:textId="77777777" w:rsidTr="006A67C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3EAAB9E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</w:tcPr>
          <w:p w14:paraId="2CC67E61" w14:textId="20D8F7E1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 xml:space="preserve">Leki zawarte w Bibliotece Leków powiązane z parametrami infuzji (limity względne </w:t>
            </w:r>
            <w:proofErr w:type="spellStart"/>
            <w:r w:rsidRPr="0051588E">
              <w:rPr>
                <w:rFonts w:ascii="Arial" w:hAnsi="Arial" w:cs="Arial"/>
                <w:sz w:val="18"/>
                <w:szCs w:val="18"/>
              </w:rPr>
              <w:t>min-max;limity</w:t>
            </w:r>
            <w:proofErr w:type="spellEnd"/>
            <w:r w:rsidRPr="0051588E">
              <w:rPr>
                <w:rFonts w:ascii="Arial" w:hAnsi="Arial" w:cs="Arial"/>
                <w:sz w:val="18"/>
                <w:szCs w:val="18"/>
              </w:rPr>
              <w:t xml:space="preserve"> bezwzględne min-max, parametry standardowe), możliwość wyświetlania naprzemiennego nazwy leku i/lub wybranych parametrów infuzji.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55EB08A2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4B70DF0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31F6F670" w14:textId="77777777" w:rsidTr="006A67C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450131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</w:tcPr>
          <w:p w14:paraId="394B9D54" w14:textId="3EAA47C8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Bolus o określonej  objętości . Bolus podawany na żądanie. Maksymalna objętość bolusa po alarmie okluzji ≤0,2ml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24DF61FB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8BE9215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1C2336AE" w14:textId="77777777" w:rsidTr="006A67C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58F31D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</w:tcPr>
          <w:p w14:paraId="717383DD" w14:textId="2590A3B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 xml:space="preserve">Funkcja precyzyjnej podaży z lub bez czujnika kropli. 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77969770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73CA217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309E1E2C" w14:textId="77777777" w:rsidTr="006A67C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E931D4D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</w:tcPr>
          <w:p w14:paraId="4CD80563" w14:textId="38E57813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 xml:space="preserve">Funkcja KVO z możliwością  wyłączenia funkcji przez użytkownika 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16538ED1" w14:textId="6F3FCE22" w:rsidR="0051588E" w:rsidRPr="0051588E" w:rsidRDefault="0051588E" w:rsidP="0051588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E9AB854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2CFCA0ED" w14:textId="77777777" w:rsidTr="006A67C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CF8458B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</w:tcPr>
          <w:p w14:paraId="1B90AAE2" w14:textId="563C4D83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 xml:space="preserve">Prezentacja ciągłego pomiaru ciśnienia w linii w formie graficznej 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17F85B39" w14:textId="7DD3EB67" w:rsidR="0051588E" w:rsidRPr="0051588E" w:rsidRDefault="0051588E" w:rsidP="0051588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DD0593F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479F0498" w14:textId="77777777" w:rsidTr="006A67C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B6722C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</w:tcPr>
          <w:p w14:paraId="5C46E629" w14:textId="627687E9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Akustyczno-optyczny system alarmów i ostrzeżeń 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26F8AD8E" w14:textId="45FAD4C4" w:rsidR="0051588E" w:rsidRPr="0051588E" w:rsidRDefault="0051588E" w:rsidP="0051588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D26E153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26939926" w14:textId="77777777" w:rsidTr="006A67C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A801416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</w:tcPr>
          <w:p w14:paraId="5E8F53CD" w14:textId="7848D001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 xml:space="preserve">Menu w języku polskim 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3B8EC813" w14:textId="42C130E7" w:rsidR="0051588E" w:rsidRPr="0051588E" w:rsidRDefault="0051588E" w:rsidP="0051588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F9E4A41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1026D190" w14:textId="77777777" w:rsidTr="006A67C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671243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</w:tcPr>
          <w:p w14:paraId="18344472" w14:textId="1C60B8D1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Funkcja programowania objętości do podania (VTBD) co najmniej 0,1- 9999 ml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2832946B" w14:textId="087DF59F" w:rsidR="0051588E" w:rsidRPr="0051588E" w:rsidRDefault="0051588E" w:rsidP="0051588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7749FE4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41D8E1F7" w14:textId="77777777" w:rsidTr="006A67C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C422BB9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</w:tcPr>
          <w:p w14:paraId="51942AB4" w14:textId="459EE68B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Funkcja programowania czasu infuzji przynajmniej od 1min –</w:t>
            </w:r>
            <w:r w:rsidRPr="005158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51588E">
              <w:rPr>
                <w:rFonts w:ascii="Arial" w:hAnsi="Arial" w:cs="Arial"/>
                <w:bCs/>
                <w:sz w:val="18"/>
                <w:szCs w:val="18"/>
              </w:rPr>
              <w:t>99:59</w:t>
            </w:r>
            <w:r w:rsidRPr="0051588E">
              <w:rPr>
                <w:rFonts w:ascii="Arial" w:hAnsi="Arial" w:cs="Arial"/>
                <w:sz w:val="18"/>
                <w:szCs w:val="18"/>
              </w:rPr>
              <w:t xml:space="preserve"> godzin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3C3714B5" w14:textId="63449739" w:rsidR="0051588E" w:rsidRPr="0051588E" w:rsidRDefault="0051588E" w:rsidP="0051588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8222B03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4D1465EF" w14:textId="77777777" w:rsidTr="006A67C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618C55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</w:tcPr>
          <w:p w14:paraId="11517D49" w14:textId="7BFF3A4F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Możliwość opcjonalnego rozszerzenia oprogramowania pompy o tryb</w:t>
            </w:r>
            <w:r w:rsidRPr="005158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51588E">
              <w:rPr>
                <w:rFonts w:ascii="Arial" w:hAnsi="Arial" w:cs="Arial"/>
                <w:sz w:val="18"/>
                <w:szCs w:val="18"/>
              </w:rPr>
              <w:t xml:space="preserve">TCI  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7E401C47" w14:textId="596A43F7" w:rsidR="0051588E" w:rsidRPr="0051588E" w:rsidRDefault="0051588E" w:rsidP="0051588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C89C9EC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379F18D2" w14:textId="77777777" w:rsidTr="006A67C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2975DC3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</w:tcPr>
          <w:p w14:paraId="23F4D6D0" w14:textId="096CE469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 xml:space="preserve">Możliwość opcjonalnego rozszerzenia oprogramowania pompy o tryb PCA i PCEA 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02E19C4B" w14:textId="5CBE47E6" w:rsidR="0051588E" w:rsidRPr="0051588E" w:rsidRDefault="0051588E" w:rsidP="0051588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4359B9A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592DAA47" w14:textId="77777777" w:rsidTr="006A67C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D8811C5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</w:tcPr>
          <w:p w14:paraId="181E9879" w14:textId="31833F6D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 xml:space="preserve">Czułość techniczna – wykrywanie pojedynczych pęcherzyków powietrza ≤ 0,01 ml 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68CC0EA1" w14:textId="0AD93559" w:rsidR="0051588E" w:rsidRPr="0051588E" w:rsidRDefault="0051588E" w:rsidP="0051588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75A2AEC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20F10E86" w14:textId="77777777" w:rsidTr="006A67C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EA3A16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</w:tcPr>
          <w:p w14:paraId="7FC34517" w14:textId="132503AE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Opcjonalna możliwość bezprzewodowej komunikacji pomp z komputerem poza stacją dokującą 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013E812A" w14:textId="49E0554C" w:rsidR="0051588E" w:rsidRPr="0051588E" w:rsidRDefault="0051588E" w:rsidP="0051588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5EDDAD5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7C69F334" w14:textId="77777777" w:rsidTr="006A67C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C6F442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</w:tcPr>
          <w:p w14:paraId="1D95700E" w14:textId="0E0ADDD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Zasilacz do oferowanej pompy.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08F88808" w14:textId="3E3526C4" w:rsidR="0051588E" w:rsidRPr="0051588E" w:rsidRDefault="0051588E" w:rsidP="0051588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1873E33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7C6D7EA7" w14:textId="77777777" w:rsidTr="006A67C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A41971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</w:tcPr>
          <w:p w14:paraId="3D70A7CB" w14:textId="51ED3A5A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Statyw na kółkach z blokadą, z listwą zasilającą i wieszakiem na płyny infuzyjne do oferowanej pompy.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25E1E2E0" w14:textId="181D0519" w:rsidR="0051588E" w:rsidRPr="0051588E" w:rsidRDefault="0051588E" w:rsidP="0051588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5C973D4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5ACEE6FC" w14:textId="77777777" w:rsidTr="006A67C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A0C96D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</w:tcPr>
          <w:p w14:paraId="265C1EB6" w14:textId="3B830188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Montaż, uruchomienie i szkolenie</w:t>
            </w:r>
            <w:r w:rsidR="009B2BA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3712E3DD" w14:textId="2C594608" w:rsidR="0051588E" w:rsidRPr="0051588E" w:rsidRDefault="0051588E" w:rsidP="0051588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ABC7484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1E717414" w14:textId="77777777" w:rsidTr="00DD1D50">
        <w:trPr>
          <w:cantSplit/>
        </w:trPr>
        <w:tc>
          <w:tcPr>
            <w:tcW w:w="9714" w:type="dxa"/>
            <w:gridSpan w:val="4"/>
            <w:shd w:val="clear" w:color="auto" w:fill="auto"/>
            <w:vAlign w:val="center"/>
          </w:tcPr>
          <w:p w14:paraId="0DF58163" w14:textId="719B9D7A" w:rsidR="0051588E" w:rsidRPr="0051588E" w:rsidRDefault="0051588E" w:rsidP="0051588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51588E" w:rsidRPr="0051588E" w14:paraId="1FCF04AD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7EF731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7EDDB0B2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19D088B7" w14:textId="77777777" w:rsidR="0051588E" w:rsidRPr="0051588E" w:rsidRDefault="0051588E" w:rsidP="005158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01990A5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0DBA36D5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3F328B4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026D62A7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396E4B4E" w14:textId="77777777" w:rsidR="0051588E" w:rsidRPr="0051588E" w:rsidRDefault="0051588E" w:rsidP="005158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74BB060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54DD06CB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BD648B2" w14:textId="77777777" w:rsidR="0051588E" w:rsidRPr="0051588E" w:rsidRDefault="0051588E" w:rsidP="0051588E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26AF9ACC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39D25E8C" w14:textId="77777777" w:rsidR="0051588E" w:rsidRPr="0051588E" w:rsidRDefault="0051588E" w:rsidP="005158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68203EA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2DC6820A" w14:textId="77777777" w:rsidTr="00DD1D50">
        <w:trPr>
          <w:cantSplit/>
        </w:trPr>
        <w:tc>
          <w:tcPr>
            <w:tcW w:w="9714" w:type="dxa"/>
            <w:gridSpan w:val="4"/>
            <w:shd w:val="clear" w:color="auto" w:fill="auto"/>
            <w:vAlign w:val="center"/>
          </w:tcPr>
          <w:p w14:paraId="3E5A6AF8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51588E" w:rsidRPr="0051588E" w14:paraId="79FC448D" w14:textId="77777777" w:rsidTr="00DD1D50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33777A39" w14:textId="77777777" w:rsidR="0051588E" w:rsidRPr="0051588E" w:rsidRDefault="0051588E" w:rsidP="0051588E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0998A637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402D46B9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3FF10A2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0B2DE023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6DEA7765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DDECB02" w14:textId="77777777" w:rsidR="0051588E" w:rsidRPr="0051588E" w:rsidRDefault="0051588E" w:rsidP="0051588E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471EFA3F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0A7319A8" w14:textId="77777777" w:rsidR="0051588E" w:rsidRPr="0051588E" w:rsidRDefault="0051588E" w:rsidP="005158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CAC028B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60088D04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6F342EB" w14:textId="77777777" w:rsidR="0051588E" w:rsidRPr="0051588E" w:rsidRDefault="0051588E" w:rsidP="0051588E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4D5B1A7F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3B144DE8" w14:textId="77777777" w:rsidR="0051588E" w:rsidRPr="0051588E" w:rsidRDefault="0051588E" w:rsidP="005158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4FD99F8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588E" w:rsidRPr="0051588E" w14:paraId="3F8F8025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16CF0F" w14:textId="77777777" w:rsidR="0051588E" w:rsidRPr="0051588E" w:rsidRDefault="0051588E" w:rsidP="0051588E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5D124EE9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226A2008" w14:textId="77777777" w:rsidR="0051588E" w:rsidRPr="0051588E" w:rsidRDefault="0051588E" w:rsidP="005158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88E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C5B8F26" w14:textId="77777777" w:rsidR="0051588E" w:rsidRPr="0051588E" w:rsidRDefault="0051588E" w:rsidP="0051588E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tbl>
      <w:tblPr>
        <w:tblStyle w:val="Tabela-Siatka"/>
        <w:tblW w:w="4990" w:type="dxa"/>
        <w:tblInd w:w="4248" w:type="dxa"/>
        <w:tblBorders>
          <w:top w:val="single" w:sz="18" w:space="0" w:color="2F5496" w:themeColor="accent1" w:themeShade="BF"/>
          <w:left w:val="single" w:sz="18" w:space="0" w:color="2F5496" w:themeColor="accent1" w:themeShade="BF"/>
          <w:bottom w:val="single" w:sz="18" w:space="0" w:color="2F5496" w:themeColor="accent1" w:themeShade="BF"/>
          <w:right w:val="single" w:sz="18" w:space="0" w:color="2F5496" w:themeColor="accent1" w:themeShade="BF"/>
          <w:insideH w:val="single" w:sz="18" w:space="0" w:color="2F5496" w:themeColor="accent1" w:themeShade="BF"/>
          <w:insideV w:val="single" w:sz="18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4990"/>
      </w:tblGrid>
      <w:tr w:rsidR="00CE7A20" w14:paraId="7B0C5ACA" w14:textId="77777777" w:rsidTr="00CE7A20">
        <w:tc>
          <w:tcPr>
            <w:tcW w:w="4990" w:type="dxa"/>
            <w:tcBorders>
              <w:top w:val="single" w:sz="18" w:space="0" w:color="2F5496" w:themeColor="accent1" w:themeShade="BF"/>
              <w:left w:val="single" w:sz="18" w:space="0" w:color="2F5496" w:themeColor="accent1" w:themeShade="BF"/>
              <w:bottom w:val="single" w:sz="18" w:space="0" w:color="2F5496" w:themeColor="accent1" w:themeShade="BF"/>
              <w:right w:val="single" w:sz="18" w:space="0" w:color="2F5496" w:themeColor="accent1" w:themeShade="BF"/>
            </w:tcBorders>
            <w:hideMark/>
          </w:tcPr>
          <w:p w14:paraId="2C2AA518" w14:textId="77777777" w:rsidR="00CE7A20" w:rsidRPr="00CE7A20" w:rsidRDefault="00CE7A20" w:rsidP="00CE7A20">
            <w:pPr>
              <w:tabs>
                <w:tab w:val="left" w:pos="9870"/>
              </w:tabs>
              <w:spacing w:before="180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>lub</w:t>
            </w:r>
            <w:proofErr w:type="spellEnd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>zaufany</w:t>
            </w:r>
            <w:proofErr w:type="spellEnd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>lub</w:t>
            </w:r>
            <w:proofErr w:type="spellEnd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>osobisty</w:t>
            </w:r>
            <w:proofErr w:type="spellEnd"/>
          </w:p>
        </w:tc>
      </w:tr>
      <w:tr w:rsidR="00CE7A20" w14:paraId="4491E605" w14:textId="77777777" w:rsidTr="00CE7A20">
        <w:trPr>
          <w:trHeight w:val="1253"/>
        </w:trPr>
        <w:tc>
          <w:tcPr>
            <w:tcW w:w="4990" w:type="dxa"/>
            <w:tcBorders>
              <w:top w:val="single" w:sz="18" w:space="0" w:color="2F5496" w:themeColor="accent1" w:themeShade="BF"/>
              <w:left w:val="single" w:sz="18" w:space="0" w:color="2F5496" w:themeColor="accent1" w:themeShade="BF"/>
              <w:bottom w:val="single" w:sz="18" w:space="0" w:color="2F5496" w:themeColor="accent1" w:themeShade="BF"/>
              <w:right w:val="single" w:sz="18" w:space="0" w:color="2F5496" w:themeColor="accent1" w:themeShade="BF"/>
            </w:tcBorders>
          </w:tcPr>
          <w:p w14:paraId="2403E5C1" w14:textId="77777777" w:rsidR="00CE7A20" w:rsidRDefault="00CE7A20">
            <w:pPr>
              <w:tabs>
                <w:tab w:val="left" w:pos="9870"/>
              </w:tabs>
              <w:spacing w:before="180"/>
              <w:rPr>
                <w:b/>
                <w:sz w:val="20"/>
                <w:szCs w:val="20"/>
                <w:shd w:val="clear" w:color="auto" w:fill="C4C4C4"/>
                <w:lang w:eastAsia="en-US"/>
              </w:rPr>
            </w:pPr>
          </w:p>
        </w:tc>
      </w:tr>
    </w:tbl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0C78AB"/>
    <w:rsid w:val="00100FF9"/>
    <w:rsid w:val="00110AF2"/>
    <w:rsid w:val="00197E33"/>
    <w:rsid w:val="00216F80"/>
    <w:rsid w:val="002B5024"/>
    <w:rsid w:val="00303928"/>
    <w:rsid w:val="00390573"/>
    <w:rsid w:val="00505458"/>
    <w:rsid w:val="0051588E"/>
    <w:rsid w:val="0055667F"/>
    <w:rsid w:val="005B4EA6"/>
    <w:rsid w:val="005C7EC4"/>
    <w:rsid w:val="006104B4"/>
    <w:rsid w:val="00657B06"/>
    <w:rsid w:val="00674625"/>
    <w:rsid w:val="006D32AA"/>
    <w:rsid w:val="006E04E5"/>
    <w:rsid w:val="006E29BF"/>
    <w:rsid w:val="0070169F"/>
    <w:rsid w:val="0070454B"/>
    <w:rsid w:val="007802CB"/>
    <w:rsid w:val="007E221D"/>
    <w:rsid w:val="007E4AB3"/>
    <w:rsid w:val="007E5A65"/>
    <w:rsid w:val="00897D79"/>
    <w:rsid w:val="008B5ECB"/>
    <w:rsid w:val="00914698"/>
    <w:rsid w:val="00937AD8"/>
    <w:rsid w:val="009A632F"/>
    <w:rsid w:val="009B2BA4"/>
    <w:rsid w:val="00A12CFA"/>
    <w:rsid w:val="00A54DE1"/>
    <w:rsid w:val="00AD5409"/>
    <w:rsid w:val="00B43F71"/>
    <w:rsid w:val="00BA0E5A"/>
    <w:rsid w:val="00BB695F"/>
    <w:rsid w:val="00BD475E"/>
    <w:rsid w:val="00C156AB"/>
    <w:rsid w:val="00C44D90"/>
    <w:rsid w:val="00CE601F"/>
    <w:rsid w:val="00CE7A20"/>
    <w:rsid w:val="00D11216"/>
    <w:rsid w:val="00D50584"/>
    <w:rsid w:val="00D71A65"/>
    <w:rsid w:val="00DD1D50"/>
    <w:rsid w:val="00E21EC5"/>
    <w:rsid w:val="00E92AFC"/>
    <w:rsid w:val="00EA3FDC"/>
    <w:rsid w:val="00ED10EB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  <w:style w:type="character" w:customStyle="1" w:styleId="TekstpodstawowyZnak">
    <w:name w:val="Tekst podstawowy Znak"/>
    <w:basedOn w:val="Domylnaczcionkaakapitu"/>
    <w:link w:val="Tekstpodstawowy"/>
    <w:rsid w:val="00674625"/>
    <w:rPr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1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663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Wiesław Babiżewski</cp:lastModifiedBy>
  <cp:revision>10</cp:revision>
  <cp:lastPrinted>1995-11-21T16:41:00Z</cp:lastPrinted>
  <dcterms:created xsi:type="dcterms:W3CDTF">2023-03-21T11:19:00Z</dcterms:created>
  <dcterms:modified xsi:type="dcterms:W3CDTF">2023-11-24T09:27:00Z</dcterms:modified>
</cp:coreProperties>
</file>