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34DC6E5E" w14:textId="77777777" w:rsidR="00270E1F" w:rsidRDefault="00CC6D23" w:rsidP="00270E1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270E1F">
        <w:rPr>
          <w:bCs/>
          <w:sz w:val="20"/>
          <w:szCs w:val="20"/>
        </w:rPr>
        <w:t>31</w:t>
      </w:r>
      <w:r w:rsidRPr="00E30D1A">
        <w:rPr>
          <w:bCs/>
          <w:sz w:val="20"/>
          <w:szCs w:val="20"/>
        </w:rPr>
        <w:t>/2</w:t>
      </w:r>
      <w:r w:rsidR="00AF236D">
        <w:rPr>
          <w:bCs/>
          <w:sz w:val="20"/>
          <w:szCs w:val="20"/>
        </w:rPr>
        <w:t>4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270E1F" w:rsidRPr="00270E1F">
        <w:rPr>
          <w:bCs/>
          <w:sz w:val="20"/>
          <w:szCs w:val="20"/>
        </w:rPr>
        <w:t>produktów leczniczych, opatrunków specjalistycznych, materiałów do dezynfekcji i wyrobów medycznych.</w:t>
      </w:r>
    </w:p>
    <w:p w14:paraId="6D16A58B" w14:textId="6ED9CEB8" w:rsidR="00C27FF8" w:rsidRPr="00E30D1A" w:rsidRDefault="00C27FF8" w:rsidP="00270E1F">
      <w:pPr>
        <w:spacing w:before="94"/>
        <w:ind w:firstLine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270E1F">
        <w:trPr>
          <w:trHeight w:val="485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5CD60D38" w14:textId="50FC595D" w:rsidR="00F17659" w:rsidRPr="00F17659" w:rsidRDefault="00E51138" w:rsidP="00F17659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F17659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0E1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311DF"/>
    <w:rsid w:val="00886A6F"/>
    <w:rsid w:val="008C1E38"/>
    <w:rsid w:val="00942045"/>
    <w:rsid w:val="00950EB0"/>
    <w:rsid w:val="009727E5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17659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13</cp:revision>
  <dcterms:created xsi:type="dcterms:W3CDTF">2023-03-24T07:32:00Z</dcterms:created>
  <dcterms:modified xsi:type="dcterms:W3CDTF">2024-03-21T07:38:00Z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