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387B0264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 xml:space="preserve">Zakup i dostawa </w:t>
      </w:r>
      <w:r w:rsidR="00336B4C">
        <w:rPr>
          <w:bCs/>
          <w:sz w:val="20"/>
          <w:szCs w:val="20"/>
        </w:rPr>
        <w:t>ziemniaków</w:t>
      </w:r>
      <w:r w:rsidRPr="00210B09">
        <w:rPr>
          <w:bCs/>
          <w:sz w:val="20"/>
          <w:szCs w:val="20"/>
        </w:rPr>
        <w:t xml:space="preserve"> – ZP/2501/</w:t>
      </w:r>
      <w:r w:rsidR="0061601A">
        <w:rPr>
          <w:bCs/>
          <w:sz w:val="20"/>
          <w:szCs w:val="20"/>
        </w:rPr>
        <w:t>3</w:t>
      </w:r>
      <w:r w:rsidR="00336B4C">
        <w:rPr>
          <w:bCs/>
          <w:sz w:val="20"/>
          <w:szCs w:val="20"/>
        </w:rPr>
        <w:t>8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5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10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36B4C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1601A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2024-04-23T06:39:00Z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