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23356F55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25524A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227B30A4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>Dotyczy: postępowania pn.</w:t>
      </w:r>
      <w:r w:rsidR="007073D5">
        <w:rPr>
          <w:bCs/>
          <w:sz w:val="20"/>
          <w:szCs w:val="20"/>
        </w:rPr>
        <w:t xml:space="preserve"> Endoprotezy stawu kolanowego </w:t>
      </w:r>
      <w:r w:rsidRPr="00210B09">
        <w:rPr>
          <w:bCs/>
          <w:sz w:val="20"/>
          <w:szCs w:val="20"/>
        </w:rPr>
        <w:t>– ZP/2501/</w:t>
      </w:r>
      <w:r w:rsidR="007073D5">
        <w:rPr>
          <w:bCs/>
          <w:sz w:val="20"/>
          <w:szCs w:val="20"/>
        </w:rPr>
        <w:t>60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5524A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073D5"/>
    <w:rsid w:val="0075729E"/>
    <w:rsid w:val="007F483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10812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85CBF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12</cp:revision>
  <dcterms:created xsi:type="dcterms:W3CDTF">2023-09-01T10:58:00Z</dcterms:created>
  <dcterms:modified xsi:type="dcterms:W3CDTF">2024-07-01T10:39:00Z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