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6599F19B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0B3AE1">
        <w:rPr>
          <w:bCs/>
          <w:sz w:val="20"/>
          <w:szCs w:val="20"/>
        </w:rPr>
        <w:t>63</w:t>
      </w:r>
      <w:r w:rsidRPr="00E30D1A">
        <w:rPr>
          <w:bCs/>
          <w:sz w:val="20"/>
          <w:szCs w:val="20"/>
        </w:rPr>
        <w:t>/2</w:t>
      </w:r>
      <w:r w:rsidR="00AF236D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>dostawę produktów leczniczych</w:t>
      </w:r>
      <w:r w:rsidR="008C1E38">
        <w:rPr>
          <w:bCs/>
          <w:sz w:val="20"/>
          <w:szCs w:val="20"/>
        </w:rPr>
        <w:t xml:space="preserve"> </w:t>
      </w:r>
      <w:r w:rsidR="000B3AE1">
        <w:rPr>
          <w:bCs/>
          <w:sz w:val="20"/>
          <w:szCs w:val="20"/>
        </w:rPr>
        <w:t>i materiałów opatrunkowych.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42045"/>
    <w:rsid w:val="00950EB0"/>
    <w:rsid w:val="009727E5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dcterms:created xsi:type="dcterms:W3CDTF">2023-03-24T07:32:00Z</dcterms:created>
  <dcterms:modified xsi:type="dcterms:W3CDTF">2024-07-01T08:55:00Z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