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347F7ED"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901D7">
        <w:rPr>
          <w:rFonts w:ascii="Arial" w:eastAsia="Times New Roman" w:hAnsi="Arial" w:cs="Arial"/>
          <w:snapToGrid w:val="0"/>
          <w:sz w:val="18"/>
          <w:szCs w:val="18"/>
          <w:lang w:eastAsia="pl-PL"/>
        </w:rPr>
        <w:t>76</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40F9AEE"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materiałów </w:t>
      </w:r>
      <w:r w:rsidR="00C901D7" w:rsidRPr="00C901D7">
        <w:rPr>
          <w:rFonts w:ascii="Arial" w:eastAsia="Times New Roman" w:hAnsi="Arial" w:cs="Arial"/>
          <w:b/>
          <w:i/>
          <w:sz w:val="18"/>
          <w:szCs w:val="18"/>
          <w:lang w:eastAsia="pl-PL"/>
        </w:rPr>
        <w:t xml:space="preserve"> jednorazow</w:t>
      </w:r>
      <w:r w:rsidR="00C901D7">
        <w:rPr>
          <w:rFonts w:ascii="Arial" w:eastAsia="Times New Roman" w:hAnsi="Arial" w:cs="Arial"/>
          <w:b/>
          <w:i/>
          <w:sz w:val="18"/>
          <w:szCs w:val="18"/>
          <w:lang w:eastAsia="pl-PL"/>
        </w:rPr>
        <w:t>ych</w:t>
      </w:r>
      <w:r w:rsidR="00C901D7" w:rsidRPr="00C901D7">
        <w:rPr>
          <w:rFonts w:ascii="Arial" w:eastAsia="Times New Roman" w:hAnsi="Arial" w:cs="Arial"/>
          <w:b/>
          <w:i/>
          <w:sz w:val="18"/>
          <w:szCs w:val="18"/>
          <w:lang w:eastAsia="pl-PL"/>
        </w:rPr>
        <w:t xml:space="preserve"> dla O/AiIT</w:t>
      </w:r>
      <w:r w:rsidR="00C901D7">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154096F"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C901D7">
        <w:rPr>
          <w:rFonts w:ascii="Arial" w:eastAsia="Times New Roman" w:hAnsi="Arial" w:cs="Arial"/>
          <w:color w:val="000000"/>
          <w:sz w:val="18"/>
          <w:szCs w:val="18"/>
          <w:lang w:eastAsia="pl-PL"/>
        </w:rPr>
        <w:t>76</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6174</Words>
  <Characters>37046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72</cp:revision>
  <cp:lastPrinted>2022-05-05T08:32:00Z</cp:lastPrinted>
  <dcterms:created xsi:type="dcterms:W3CDTF">2023-04-18T09:58:00Z</dcterms:created>
  <dcterms:modified xsi:type="dcterms:W3CDTF">2024-08-29T07:55:00Z</dcterms:modified>
</cp:coreProperties>
</file>