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5237F718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97337C">
        <w:rPr>
          <w:bCs/>
          <w:sz w:val="20"/>
          <w:szCs w:val="20"/>
        </w:rPr>
        <w:t>95</w:t>
      </w:r>
      <w:r w:rsidRPr="00E30D1A">
        <w:rPr>
          <w:bCs/>
          <w:sz w:val="20"/>
          <w:szCs w:val="20"/>
        </w:rPr>
        <w:t>/2</w:t>
      </w:r>
      <w:r w:rsidR="0097337C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905CBF">
        <w:rPr>
          <w:b/>
          <w:sz w:val="20"/>
          <w:szCs w:val="20"/>
        </w:rPr>
        <w:t>materiałów ortopedycznych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8311DF"/>
    <w:rsid w:val="00886A6F"/>
    <w:rsid w:val="00905CBF"/>
    <w:rsid w:val="00942045"/>
    <w:rsid w:val="00950EB0"/>
    <w:rsid w:val="009727E5"/>
    <w:rsid w:val="0097337C"/>
    <w:rsid w:val="00A001A9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77693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dcterms:created xsi:type="dcterms:W3CDTF">2023-03-24T07:32:00Z</dcterms:created>
  <dcterms:modified xsi:type="dcterms:W3CDTF">2024-11-05T07:54:00Z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