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260A4BBD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5B2776" w:rsidRPr="005B2776">
        <w:rPr>
          <w:bCs/>
          <w:sz w:val="20"/>
          <w:szCs w:val="20"/>
        </w:rPr>
        <w:t>Rękawice chirurgiczne bezpudrowe sterylne do zabiegów operacyjnych</w:t>
      </w:r>
      <w:r w:rsidR="00DE13F7">
        <w:rPr>
          <w:bCs/>
          <w:sz w:val="20"/>
          <w:szCs w:val="20"/>
        </w:rPr>
        <w:t xml:space="preserve"> </w:t>
      </w:r>
      <w:r w:rsidRPr="00210B09">
        <w:rPr>
          <w:bCs/>
          <w:sz w:val="20"/>
          <w:szCs w:val="20"/>
        </w:rPr>
        <w:t xml:space="preserve"> – ZP/2501/</w:t>
      </w:r>
      <w:r w:rsidR="005B2776">
        <w:rPr>
          <w:bCs/>
          <w:sz w:val="20"/>
          <w:szCs w:val="20"/>
        </w:rPr>
        <w:t>50</w:t>
      </w:r>
      <w:r w:rsidRPr="00210B09">
        <w:rPr>
          <w:bCs/>
          <w:sz w:val="20"/>
          <w:szCs w:val="20"/>
        </w:rPr>
        <w:t>/2</w:t>
      </w:r>
      <w:r w:rsidR="00177DFD">
        <w:rPr>
          <w:bCs/>
          <w:sz w:val="20"/>
          <w:szCs w:val="20"/>
        </w:rPr>
        <w:t>5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B564EE9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3822A1">
        <w:rPr>
          <w:sz w:val="20"/>
          <w:szCs w:val="20"/>
        </w:rPr>
        <w:t>4</w:t>
      </w:r>
      <w:r w:rsidRPr="00E30D1A">
        <w:rPr>
          <w:sz w:val="20"/>
          <w:szCs w:val="20"/>
        </w:rPr>
        <w:t xml:space="preserve"> poz. 1</w:t>
      </w:r>
      <w:r w:rsidR="003822A1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19A7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77DFD"/>
    <w:rsid w:val="001B0DD6"/>
    <w:rsid w:val="001F3AF4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822A1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5B2776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10DD8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B4CEB"/>
    <w:rsid w:val="00EC5621"/>
    <w:rsid w:val="00F10449"/>
    <w:rsid w:val="00F109ED"/>
    <w:rsid w:val="00F2033E"/>
    <w:rsid w:val="00F226BC"/>
    <w:rsid w:val="00F52787"/>
    <w:rsid w:val="00F639DA"/>
    <w:rsid w:val="00FA19BB"/>
    <w:rsid w:val="00FA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15</cp:revision>
  <dcterms:created xsi:type="dcterms:W3CDTF">2023-09-01T10:58:00Z</dcterms:created>
  <dcterms:modified xsi:type="dcterms:W3CDTF">2025-06-11T10:00:00Z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